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16A" w:rsidRPr="00862128" w:rsidRDefault="00CE558A">
      <w:pPr>
        <w:widowControl w:val="0"/>
        <w:autoSpaceDE w:val="0"/>
        <w:autoSpaceDN w:val="0"/>
        <w:adjustRightInd w:val="0"/>
        <w:spacing w:after="0" w:line="240" w:lineRule="auto"/>
        <w:rPr>
          <w:rFonts w:ascii="Times New Roman" w:hAnsi="Times New Roman"/>
          <w:sz w:val="28"/>
          <w:szCs w:val="28"/>
        </w:rPr>
      </w:pPr>
      <w:bookmarkStart w:id="0" w:name="_GoBack"/>
      <w:bookmarkEnd w:id="0"/>
      <w:r w:rsidRPr="00862128">
        <w:rPr>
          <w:rFonts w:ascii="Times New Roman" w:hAnsi="Times New Roman"/>
          <w:sz w:val="28"/>
          <w:szCs w:val="24"/>
        </w:rPr>
        <w:t xml:space="preserve"> </w:t>
      </w:r>
    </w:p>
    <w:p w:rsidR="0091016A" w:rsidRPr="00862128" w:rsidRDefault="0091016A">
      <w:pPr>
        <w:widowControl w:val="0"/>
        <w:autoSpaceDE w:val="0"/>
        <w:autoSpaceDN w:val="0"/>
        <w:adjustRightInd w:val="0"/>
        <w:spacing w:after="0" w:line="240" w:lineRule="auto"/>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center"/>
        <w:rPr>
          <w:rFonts w:ascii="Times New Roman" w:hAnsi="Times New Roman"/>
          <w:b/>
          <w:bCs/>
          <w:sz w:val="28"/>
          <w:szCs w:val="28"/>
        </w:rPr>
      </w:pPr>
      <w:r w:rsidRPr="00862128">
        <w:rPr>
          <w:rFonts w:ascii="Times New Roman" w:hAnsi="Times New Roman"/>
          <w:b/>
          <w:bCs/>
          <w:sz w:val="28"/>
          <w:szCs w:val="28"/>
        </w:rPr>
        <w:t xml:space="preserve">TEMAS-SUBTEMAS </w:t>
      </w:r>
    </w:p>
    <w:p w:rsidR="0091016A" w:rsidRPr="00862128" w:rsidRDefault="0091016A">
      <w:pPr>
        <w:widowControl w:val="0"/>
        <w:autoSpaceDE w:val="0"/>
        <w:autoSpaceDN w:val="0"/>
        <w:adjustRightInd w:val="0"/>
        <w:spacing w:after="0" w:line="240" w:lineRule="auto"/>
        <w:jc w:val="center"/>
        <w:rPr>
          <w:rFonts w:ascii="Times New Roman" w:hAnsi="Times New Roman"/>
          <w:b/>
          <w:bCs/>
          <w:sz w:val="28"/>
          <w:szCs w:val="28"/>
        </w:rPr>
      </w:pPr>
    </w:p>
    <w:p w:rsidR="0091016A" w:rsidRPr="00862128" w:rsidRDefault="00CE558A">
      <w:pPr>
        <w:widowControl w:val="0"/>
        <w:autoSpaceDE w:val="0"/>
        <w:autoSpaceDN w:val="0"/>
        <w:adjustRightInd w:val="0"/>
        <w:spacing w:after="0" w:line="240" w:lineRule="auto"/>
        <w:jc w:val="center"/>
        <w:rPr>
          <w:rFonts w:ascii="Times New Roman" w:hAnsi="Times New Roman"/>
          <w:sz w:val="28"/>
          <w:szCs w:val="28"/>
        </w:rPr>
      </w:pPr>
      <w:r w:rsidRPr="00862128">
        <w:rPr>
          <w:rFonts w:ascii="Times New Roman" w:hAnsi="Times New Roman"/>
          <w:b/>
          <w:bCs/>
          <w:sz w:val="28"/>
          <w:szCs w:val="28"/>
        </w:rPr>
        <w:t xml:space="preserve">Sentencia C-494/25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INHIBICION DE LA CORTE CONSTITUCIONAL</w:t>
      </w:r>
      <w:r w:rsidRPr="00862128">
        <w:rPr>
          <w:rFonts w:ascii="Times New Roman" w:hAnsi="Times New Roman"/>
          <w:sz w:val="28"/>
          <w:szCs w:val="28"/>
        </w:rPr>
        <w:t xml:space="preserve">-Incumplimiento de requisitos exigidos en cargo por violación al principio de igualdad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DEMANDA DE INCONSTITUCIONALIDAD</w:t>
      </w:r>
      <w:r w:rsidRPr="00862128">
        <w:rPr>
          <w:rFonts w:ascii="Times New Roman" w:hAnsi="Times New Roman"/>
          <w:sz w:val="28"/>
          <w:szCs w:val="28"/>
        </w:rPr>
        <w:t xml:space="preserve">-Cargo por violación del derecho a la igualdad exige constatar trato diferenciado injustificado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INHIBICION DE LA CORTE CONSTITUCIONAL</w:t>
      </w:r>
      <w:r w:rsidRPr="00862128">
        <w:rPr>
          <w:rFonts w:ascii="Times New Roman" w:hAnsi="Times New Roman"/>
          <w:sz w:val="28"/>
          <w:szCs w:val="28"/>
        </w:rPr>
        <w:t xml:space="preserve">-Ineptitud sustantiva de la demanda por presunta violación de los derechos del consumidor y de la libertad de empresa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INHIBICION DE LA CORTE CONSTITUCIONAL</w:t>
      </w:r>
      <w:r w:rsidRPr="00862128">
        <w:rPr>
          <w:rFonts w:ascii="Times New Roman" w:hAnsi="Times New Roman"/>
          <w:sz w:val="28"/>
          <w:szCs w:val="28"/>
        </w:rPr>
        <w:t>-Cargos de conveniencia</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i/>
          <w:iCs/>
          <w:sz w:val="28"/>
          <w:szCs w:val="28"/>
        </w:rPr>
        <w:t>(...) en la demanda se afirma que la disposición acusada afecta a los consumidores porque los obliga a realizar una serie de cálculos y análisis para comparar diferentes ofertas. Al respecto, más allá de si tal afirmación es correcta, lo cierto es que esa alegación no es de naturaleza constitucional y, por el contrario, se trata de una cuestión de mera conveniencia o inconformidad con la norma. En esa medida, se trata de argumentos que carecen de pertinencia pues lo que se plantea es una inconformidad con los efectos de la norma y no razones de índole constitucionales que demuestren la contradicción entre el texto legal acusado y la Constitución.</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CONTROL DE CONSTITUCIONALIDAD DE DEMANDA DE INCONSTITUCIONALIDAD</w:t>
      </w:r>
      <w:r w:rsidRPr="00862128">
        <w:rPr>
          <w:rFonts w:ascii="Times New Roman" w:hAnsi="Times New Roman"/>
          <w:sz w:val="28"/>
          <w:szCs w:val="28"/>
        </w:rPr>
        <w:t>-No es oficioso</w:t>
      </w:r>
      <w:r w:rsidRPr="00862128">
        <w:rPr>
          <w:rFonts w:ascii="Times New Roman" w:hAnsi="Times New Roman"/>
          <w:b/>
          <w:bCs/>
          <w:sz w:val="28"/>
          <w:szCs w:val="28"/>
        </w:rPr>
        <w:t>/ACCION DE INCONSTITUCIONALIDAD</w:t>
      </w:r>
      <w:r w:rsidRPr="00862128">
        <w:rPr>
          <w:rFonts w:ascii="Times New Roman" w:hAnsi="Times New Roman"/>
          <w:sz w:val="28"/>
          <w:szCs w:val="28"/>
        </w:rPr>
        <w:t>-Carácter rogado</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i/>
          <w:iCs/>
          <w:sz w:val="28"/>
          <w:szCs w:val="28"/>
        </w:rPr>
        <w:t>La jurisprudencia de esta Corporación establece que el examen de la Corte está limitado a los cargos formulados en la demanda cuando se trata de un proceso iniciado a partir de la presentación de una acción pública de inconstitucionalidad. El proceso de constitucionalidad no solo es participativo y democrático, sino que tiene carácter rogado, “por lo que resulta fundamental que los argumentos contenidos en la demanda no solo sean el punto de partida sino el eje que articula toda la discusión, pues es en relación con éstos que los intervinientes fijan su postura y presentan sus argumentos de impugnación o defensa de las normas objeto de juzgamiento”.</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DEMANDA DE INCONSTITUCIONALIDAD</w:t>
      </w:r>
      <w:r w:rsidRPr="00862128">
        <w:rPr>
          <w:rFonts w:ascii="Times New Roman" w:hAnsi="Times New Roman"/>
          <w:sz w:val="28"/>
          <w:szCs w:val="28"/>
        </w:rPr>
        <w:t xml:space="preserve">-Oportunidad procesal para definir la aptitud de la demanda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CE558A">
      <w:pPr>
        <w:widowControl w:val="0"/>
        <w:autoSpaceDE w:val="0"/>
        <w:autoSpaceDN w:val="0"/>
        <w:adjustRightInd w:val="0"/>
        <w:spacing w:after="0" w:line="240" w:lineRule="auto"/>
        <w:jc w:val="both"/>
        <w:rPr>
          <w:rFonts w:ascii="Times New Roman" w:hAnsi="Times New Roman"/>
          <w:sz w:val="28"/>
          <w:szCs w:val="28"/>
        </w:rPr>
      </w:pPr>
      <w:r w:rsidRPr="00862128">
        <w:rPr>
          <w:rFonts w:ascii="Times New Roman" w:hAnsi="Times New Roman"/>
          <w:b/>
          <w:bCs/>
          <w:sz w:val="28"/>
          <w:szCs w:val="28"/>
        </w:rPr>
        <w:t>DEMANDA DE INCONSTITUCIONALIDAD</w:t>
      </w:r>
      <w:r w:rsidRPr="00862128">
        <w:rPr>
          <w:rFonts w:ascii="Times New Roman" w:hAnsi="Times New Roman"/>
          <w:sz w:val="28"/>
          <w:szCs w:val="28"/>
        </w:rPr>
        <w:t xml:space="preserve">-Requisitos mínimos </w:t>
      </w:r>
    </w:p>
    <w:p w:rsidR="0091016A" w:rsidRPr="00862128" w:rsidRDefault="0091016A">
      <w:pPr>
        <w:widowControl w:val="0"/>
        <w:autoSpaceDE w:val="0"/>
        <w:autoSpaceDN w:val="0"/>
        <w:adjustRightInd w:val="0"/>
        <w:spacing w:after="0" w:line="240" w:lineRule="auto"/>
        <w:jc w:val="both"/>
        <w:rPr>
          <w:rFonts w:ascii="Times New Roman" w:hAnsi="Times New Roman"/>
          <w:sz w:val="28"/>
          <w:szCs w:val="28"/>
        </w:rPr>
      </w:pPr>
    </w:p>
    <w:p w:rsidR="0091016A" w:rsidRPr="00862128" w:rsidRDefault="00862128">
      <w:pPr>
        <w:widowControl w:val="0"/>
        <w:autoSpaceDE w:val="0"/>
        <w:autoSpaceDN w:val="0"/>
        <w:adjustRightInd w:val="0"/>
        <w:spacing w:after="0" w:line="240" w:lineRule="auto"/>
        <w:jc w:val="both"/>
        <w:rPr>
          <w:rFonts w:ascii="Times New Roman" w:hAnsi="Times New Roman"/>
          <w:sz w:val="28"/>
        </w:rPr>
      </w:pPr>
      <w:r w:rsidRPr="00862128">
        <w:rPr>
          <w:rFonts w:ascii="Times New Roman" w:hAnsi="Times New Roman"/>
          <w:sz w:val="28"/>
          <w:szCs w:val="28"/>
        </w:rPr>
        <w:pict>
          <v:rect id="_x0000_i1025" style="width:0;height:1.5pt" o:hralign="center" o:hrstd="t" o:hr="t" fillcolor="#a0a0a0" stroked="f"/>
        </w:pict>
      </w:r>
    </w:p>
    <w:p w:rsidR="00705B83" w:rsidRPr="00862128" w:rsidRDefault="00862128" w:rsidP="00DA4B1E">
      <w:pPr>
        <w:tabs>
          <w:tab w:val="center" w:pos="4419"/>
          <w:tab w:val="right" w:pos="8838"/>
        </w:tabs>
        <w:jc w:val="center"/>
        <w:rPr>
          <w:rFonts w:ascii="Times New Roman" w:eastAsia="Calibri" w:hAnsi="Times New Roman"/>
          <w:b/>
          <w:bCs/>
          <w:sz w:val="28"/>
          <w:szCs w:val="28"/>
          <w:lang w:val="pt-BR"/>
        </w:rPr>
      </w:pPr>
      <w:r w:rsidRPr="00862128">
        <w:rPr>
          <w:rFonts w:ascii="Times New Roman" w:eastAsia="Calibri" w:hAnsi="Times New Roman"/>
          <w:b/>
          <w:bCs/>
          <w:sz w:val="28"/>
          <w:szCs w:val="28"/>
          <w:lang w:val="pt-BR"/>
        </w:rPr>
        <w:t>REPÚBLICA DE COLOMBIA</w:t>
      </w:r>
    </w:p>
    <w:p w:rsidR="00705B83" w:rsidRPr="00862128" w:rsidRDefault="00862128" w:rsidP="00DA4B1E">
      <w:pPr>
        <w:tabs>
          <w:tab w:val="center" w:pos="4419"/>
          <w:tab w:val="right" w:pos="8838"/>
        </w:tabs>
        <w:jc w:val="center"/>
        <w:rPr>
          <w:rFonts w:ascii="Times New Roman" w:eastAsia="Calibri" w:hAnsi="Times New Roman"/>
          <w:b/>
          <w:bCs/>
          <w:sz w:val="28"/>
          <w:szCs w:val="28"/>
          <w:lang w:val="pt-BR"/>
        </w:rPr>
      </w:pPr>
      <w:r w:rsidRPr="00862128">
        <w:rPr>
          <w:rFonts w:ascii="Times New Roman" w:eastAsia="Calibri" w:hAnsi="Times New Roman"/>
          <w:b/>
          <w:noProof/>
          <w:sz w:val="28"/>
          <w:szCs w:val="28"/>
          <w:lang w:val="pt-B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style="width:62.25pt;height:62.25pt;visibility:visible;mso-wrap-style:square">
            <v:imagedata r:id="rId7" o:title=""/>
          </v:shape>
        </w:pict>
      </w:r>
    </w:p>
    <w:p w:rsidR="00705B83" w:rsidRPr="00862128" w:rsidRDefault="00862128" w:rsidP="00DA4B1E">
      <w:pPr>
        <w:tabs>
          <w:tab w:val="center" w:pos="4419"/>
          <w:tab w:val="right" w:pos="8838"/>
        </w:tabs>
        <w:jc w:val="center"/>
        <w:rPr>
          <w:rFonts w:ascii="Times New Roman" w:eastAsia="Calibri" w:hAnsi="Times New Roman"/>
          <w:b/>
          <w:bCs/>
          <w:sz w:val="28"/>
          <w:szCs w:val="28"/>
          <w:lang w:val="pt-BR"/>
        </w:rPr>
      </w:pPr>
      <w:r w:rsidRPr="00862128">
        <w:rPr>
          <w:rFonts w:ascii="Times New Roman" w:eastAsia="Calibri" w:hAnsi="Times New Roman"/>
          <w:b/>
          <w:bCs/>
          <w:sz w:val="28"/>
          <w:szCs w:val="28"/>
          <w:lang w:val="pt-BR"/>
        </w:rPr>
        <w:t>CORTE CONSTITUCIONAL</w:t>
      </w:r>
    </w:p>
    <w:p w:rsidR="00CE2FE6" w:rsidRPr="00862128" w:rsidRDefault="00862128" w:rsidP="00DA4B1E">
      <w:pPr>
        <w:jc w:val="center"/>
        <w:rPr>
          <w:rFonts w:ascii="Times New Roman" w:eastAsia="Calibri" w:hAnsi="Times New Roman"/>
          <w:b/>
          <w:sz w:val="28"/>
          <w:szCs w:val="28"/>
          <w:lang w:val="pt-BR"/>
        </w:rPr>
      </w:pPr>
      <w:r w:rsidRPr="00862128">
        <w:rPr>
          <w:rFonts w:ascii="Times New Roman" w:eastAsia="Calibri" w:hAnsi="Times New Roman"/>
          <w:b/>
          <w:sz w:val="28"/>
          <w:szCs w:val="28"/>
          <w:lang w:val="pt-BR"/>
        </w:rPr>
        <w:t>Sala Plena</w:t>
      </w:r>
    </w:p>
    <w:p w:rsidR="000C5DAF" w:rsidRPr="00862128" w:rsidRDefault="00862128" w:rsidP="00BE5143">
      <w:pPr>
        <w:jc w:val="center"/>
        <w:rPr>
          <w:rFonts w:ascii="Times New Roman" w:eastAsia="Calibri" w:hAnsi="Times New Roman"/>
          <w:b/>
          <w:sz w:val="28"/>
          <w:szCs w:val="28"/>
          <w:lang w:val="pt-BR"/>
        </w:rPr>
      </w:pPr>
    </w:p>
    <w:p w:rsidR="00CE2FE6" w:rsidRPr="00862128" w:rsidRDefault="00862128" w:rsidP="00BE5143">
      <w:pPr>
        <w:ind w:right="20"/>
        <w:jc w:val="center"/>
        <w:rPr>
          <w:rFonts w:ascii="Times New Roman" w:eastAsia="Calibri" w:hAnsi="Times New Roman"/>
          <w:b/>
          <w:sz w:val="28"/>
          <w:szCs w:val="28"/>
          <w:lang w:val="pt-BR"/>
        </w:rPr>
      </w:pPr>
    </w:p>
    <w:p w:rsidR="00705B83" w:rsidRPr="00862128" w:rsidRDefault="00862128" w:rsidP="00BE5143">
      <w:pPr>
        <w:ind w:right="20"/>
        <w:jc w:val="center"/>
        <w:rPr>
          <w:rFonts w:ascii="Times New Roman" w:eastAsia="Calibri" w:hAnsi="Times New Roman"/>
          <w:b/>
          <w:sz w:val="28"/>
          <w:szCs w:val="28"/>
          <w:lang w:val="pt-BR"/>
        </w:rPr>
      </w:pPr>
    </w:p>
    <w:p w:rsidR="00EE5696" w:rsidRPr="00862128" w:rsidRDefault="00862128" w:rsidP="00BE5143">
      <w:pPr>
        <w:jc w:val="center"/>
        <w:rPr>
          <w:rFonts w:ascii="Times New Roman" w:hAnsi="Times New Roman"/>
          <w:b/>
          <w:bCs/>
          <w:sz w:val="28"/>
          <w:szCs w:val="28"/>
        </w:rPr>
      </w:pPr>
      <w:r w:rsidRPr="00862128">
        <w:rPr>
          <w:rFonts w:ascii="Times New Roman" w:hAnsi="Times New Roman"/>
          <w:b/>
          <w:bCs/>
          <w:sz w:val="28"/>
          <w:szCs w:val="28"/>
        </w:rPr>
        <w:t>SENTENCIA C-</w:t>
      </w:r>
      <w:r w:rsidRPr="00862128">
        <w:rPr>
          <w:rFonts w:ascii="Times New Roman" w:hAnsi="Times New Roman"/>
          <w:b/>
          <w:bCs/>
          <w:sz w:val="28"/>
          <w:szCs w:val="28"/>
        </w:rPr>
        <w:t>494</w:t>
      </w:r>
      <w:r w:rsidRPr="00862128">
        <w:rPr>
          <w:rFonts w:ascii="Times New Roman" w:hAnsi="Times New Roman"/>
          <w:b/>
          <w:bCs/>
          <w:sz w:val="28"/>
          <w:szCs w:val="28"/>
        </w:rPr>
        <w:t xml:space="preserve"> DE 2025</w:t>
      </w:r>
    </w:p>
    <w:p w:rsidR="00705B83" w:rsidRPr="00862128" w:rsidRDefault="00862128" w:rsidP="00BE5143">
      <w:pPr>
        <w:ind w:left="708"/>
        <w:jc w:val="both"/>
        <w:rPr>
          <w:rFonts w:ascii="Times New Roman" w:eastAsia="Calibri" w:hAnsi="Times New Roman"/>
          <w:sz w:val="28"/>
          <w:szCs w:val="28"/>
          <w:lang w:eastAsia="es-ES"/>
        </w:rPr>
      </w:pPr>
    </w:p>
    <w:p w:rsidR="00705B83" w:rsidRPr="00862128" w:rsidRDefault="00862128" w:rsidP="00BE5143">
      <w:pPr>
        <w:ind w:left="708"/>
        <w:jc w:val="both"/>
        <w:rPr>
          <w:rFonts w:ascii="Times New Roman" w:eastAsia="Calibri" w:hAnsi="Times New Roman"/>
          <w:sz w:val="28"/>
          <w:szCs w:val="28"/>
          <w:lang w:eastAsia="es-ES"/>
        </w:rPr>
      </w:pPr>
    </w:p>
    <w:p w:rsidR="00705B83" w:rsidRPr="00862128" w:rsidRDefault="00862128" w:rsidP="00BE5143">
      <w:pPr>
        <w:ind w:left="4253"/>
        <w:jc w:val="both"/>
        <w:rPr>
          <w:rFonts w:ascii="Times New Roman" w:hAnsi="Times New Roman"/>
          <w:b/>
          <w:sz w:val="28"/>
          <w:szCs w:val="28"/>
          <w:lang w:val="es-ES" w:eastAsia="es-ES"/>
        </w:rPr>
      </w:pPr>
      <w:r w:rsidRPr="00862128">
        <w:rPr>
          <w:rFonts w:ascii="Times New Roman" w:hAnsi="Times New Roman"/>
          <w:b/>
          <w:sz w:val="28"/>
          <w:szCs w:val="28"/>
          <w:lang w:val="es-ES" w:eastAsia="es-ES"/>
        </w:rPr>
        <w:t xml:space="preserve">Referencia: </w:t>
      </w:r>
      <w:r w:rsidRPr="00862128">
        <w:rPr>
          <w:rFonts w:ascii="Times New Roman" w:hAnsi="Times New Roman"/>
          <w:bCs/>
          <w:sz w:val="28"/>
          <w:szCs w:val="28"/>
          <w:lang w:val="es-ES" w:eastAsia="es-ES"/>
        </w:rPr>
        <w:t>expediente D-16.557</w:t>
      </w:r>
    </w:p>
    <w:p w:rsidR="00705B83" w:rsidRPr="00862128" w:rsidRDefault="00862128" w:rsidP="00BE5143">
      <w:pPr>
        <w:ind w:left="4253"/>
        <w:jc w:val="both"/>
        <w:rPr>
          <w:rFonts w:ascii="Times New Roman" w:hAnsi="Times New Roman"/>
          <w:b/>
          <w:sz w:val="28"/>
          <w:szCs w:val="28"/>
          <w:lang w:val="es-ES" w:eastAsia="es-ES"/>
        </w:rPr>
      </w:pPr>
    </w:p>
    <w:p w:rsidR="00705B83" w:rsidRPr="00862128" w:rsidRDefault="00862128" w:rsidP="00BE5143">
      <w:pPr>
        <w:ind w:left="4253"/>
        <w:jc w:val="both"/>
        <w:rPr>
          <w:rFonts w:ascii="Times New Roman" w:hAnsi="Times New Roman"/>
          <w:bCs/>
          <w:iCs/>
          <w:sz w:val="28"/>
          <w:szCs w:val="28"/>
          <w:lang w:val="es-ES" w:eastAsia="es-ES"/>
        </w:rPr>
      </w:pPr>
      <w:r w:rsidRPr="00862128">
        <w:rPr>
          <w:rFonts w:ascii="Times New Roman" w:hAnsi="Times New Roman"/>
          <w:b/>
          <w:sz w:val="28"/>
          <w:szCs w:val="28"/>
          <w:lang w:val="es-ES" w:eastAsia="es-ES"/>
        </w:rPr>
        <w:t>Asunto:</w:t>
      </w:r>
      <w:bookmarkStart w:id="1" w:name="_Hlk141858759"/>
      <w:r w:rsidRPr="00862128">
        <w:rPr>
          <w:rFonts w:ascii="Times New Roman" w:hAnsi="Times New Roman"/>
          <w:bCs/>
          <w:sz w:val="28"/>
          <w:szCs w:val="28"/>
          <w:lang w:val="es-ES" w:eastAsia="es-ES"/>
        </w:rPr>
        <w:t xml:space="preserve"> </w:t>
      </w:r>
      <w:r w:rsidRPr="00862128">
        <w:rPr>
          <w:rFonts w:ascii="Times New Roman" w:hAnsi="Times New Roman"/>
          <w:bCs/>
          <w:sz w:val="28"/>
          <w:szCs w:val="28"/>
          <w:lang w:val="es-ES" w:eastAsia="es-ES"/>
        </w:rPr>
        <w:t>a</w:t>
      </w:r>
      <w:r w:rsidRPr="00862128">
        <w:rPr>
          <w:rFonts w:ascii="Times New Roman" w:hAnsi="Times New Roman"/>
          <w:bCs/>
          <w:sz w:val="28"/>
          <w:szCs w:val="28"/>
          <w:lang w:val="es-ES" w:eastAsia="es-ES"/>
        </w:rPr>
        <w:t xml:space="preserve">cción pública </w:t>
      </w:r>
      <w:r w:rsidRPr="00862128">
        <w:rPr>
          <w:rFonts w:ascii="Times New Roman" w:hAnsi="Times New Roman"/>
          <w:bCs/>
          <w:sz w:val="28"/>
          <w:szCs w:val="28"/>
          <w:lang w:val="es-ES" w:eastAsia="es-ES"/>
        </w:rPr>
        <w:t xml:space="preserve">de inconstitucionalidad </w:t>
      </w:r>
      <w:r w:rsidRPr="00862128">
        <w:rPr>
          <w:rFonts w:ascii="Times New Roman" w:hAnsi="Times New Roman"/>
          <w:bCs/>
          <w:sz w:val="28"/>
          <w:szCs w:val="28"/>
          <w:lang w:val="es-ES" w:eastAsia="es-ES"/>
        </w:rPr>
        <w:t xml:space="preserve">en </w:t>
      </w:r>
      <w:r w:rsidRPr="00862128">
        <w:rPr>
          <w:rFonts w:ascii="Times New Roman" w:hAnsi="Times New Roman"/>
          <w:bCs/>
          <w:sz w:val="28"/>
          <w:szCs w:val="28"/>
          <w:lang w:val="es-ES" w:eastAsia="es-ES"/>
        </w:rPr>
        <w:t xml:space="preserve">contra </w:t>
      </w:r>
      <w:r w:rsidRPr="00862128">
        <w:rPr>
          <w:rFonts w:ascii="Times New Roman" w:hAnsi="Times New Roman"/>
          <w:bCs/>
          <w:sz w:val="28"/>
          <w:szCs w:val="28"/>
          <w:lang w:val="es-ES" w:eastAsia="es-ES"/>
        </w:rPr>
        <w:t>d</w:t>
      </w:r>
      <w:r w:rsidRPr="00862128">
        <w:rPr>
          <w:rFonts w:ascii="Times New Roman" w:hAnsi="Times New Roman"/>
          <w:bCs/>
          <w:sz w:val="28"/>
          <w:szCs w:val="28"/>
          <w:lang w:val="es-ES" w:eastAsia="es-ES"/>
        </w:rPr>
        <w:t>el parágrafo 3 (parcial) del artículo 45 de la Ley 1480 de 2011, adicionado por el artículo 7 de la Ley 2439 de 2024</w:t>
      </w:r>
    </w:p>
    <w:p w:rsidR="00705B83" w:rsidRPr="00862128" w:rsidRDefault="00862128" w:rsidP="00BE5143">
      <w:pPr>
        <w:ind w:left="4253"/>
        <w:jc w:val="both"/>
        <w:rPr>
          <w:rFonts w:ascii="Times New Roman" w:hAnsi="Times New Roman"/>
          <w:bCs/>
          <w:sz w:val="28"/>
          <w:szCs w:val="28"/>
          <w:lang w:val="es-ES" w:eastAsia="es-ES"/>
        </w:rPr>
      </w:pPr>
    </w:p>
    <w:p w:rsidR="00552D36" w:rsidRPr="00862128" w:rsidRDefault="00862128" w:rsidP="00BE5143">
      <w:pPr>
        <w:ind w:left="4253"/>
        <w:jc w:val="both"/>
        <w:rPr>
          <w:rFonts w:ascii="Times New Roman" w:hAnsi="Times New Roman"/>
          <w:bCs/>
          <w:sz w:val="28"/>
          <w:szCs w:val="28"/>
          <w:lang w:val="es-ES" w:eastAsia="es-ES"/>
        </w:rPr>
      </w:pPr>
      <w:r w:rsidRPr="00862128">
        <w:rPr>
          <w:rFonts w:ascii="Times New Roman" w:hAnsi="Times New Roman"/>
          <w:b/>
          <w:sz w:val="28"/>
          <w:szCs w:val="28"/>
          <w:lang w:val="es-ES" w:eastAsia="es-ES"/>
        </w:rPr>
        <w:t>Demandante:</w:t>
      </w:r>
      <w:r w:rsidRPr="00862128">
        <w:rPr>
          <w:rFonts w:ascii="Times New Roman" w:hAnsi="Times New Roman"/>
          <w:bCs/>
          <w:sz w:val="28"/>
          <w:szCs w:val="28"/>
          <w:lang w:val="es-ES" w:eastAsia="es-ES"/>
        </w:rPr>
        <w:t xml:space="preserve"> </w:t>
      </w:r>
      <w:bookmarkEnd w:id="1"/>
    </w:p>
    <w:p w:rsidR="00705B83" w:rsidRPr="00862128" w:rsidRDefault="00862128" w:rsidP="00BE5143">
      <w:pPr>
        <w:ind w:left="4253"/>
        <w:jc w:val="both"/>
        <w:rPr>
          <w:rFonts w:ascii="Times New Roman" w:hAnsi="Times New Roman"/>
          <w:bCs/>
          <w:sz w:val="28"/>
          <w:szCs w:val="28"/>
          <w:lang w:val="es-ES" w:eastAsia="es-ES"/>
        </w:rPr>
      </w:pPr>
      <w:r w:rsidRPr="00862128">
        <w:rPr>
          <w:rFonts w:ascii="Times New Roman" w:hAnsi="Times New Roman"/>
          <w:bCs/>
          <w:sz w:val="28"/>
          <w:szCs w:val="28"/>
          <w:lang w:val="es-ES" w:eastAsia="es-ES"/>
        </w:rPr>
        <w:t>Juan Carlos Esguerra Portocarrero</w:t>
      </w:r>
    </w:p>
    <w:p w:rsidR="00705B83" w:rsidRPr="00862128" w:rsidRDefault="00862128" w:rsidP="00BE5143">
      <w:pPr>
        <w:ind w:left="4253"/>
        <w:jc w:val="both"/>
        <w:rPr>
          <w:rFonts w:ascii="Times New Roman" w:hAnsi="Times New Roman"/>
          <w:b/>
          <w:sz w:val="28"/>
          <w:szCs w:val="28"/>
          <w:lang w:val="es-ES" w:eastAsia="es-ES"/>
        </w:rPr>
      </w:pPr>
    </w:p>
    <w:p w:rsidR="00705B83" w:rsidRPr="00862128" w:rsidRDefault="00862128" w:rsidP="00BE5143">
      <w:pPr>
        <w:ind w:left="4253"/>
        <w:jc w:val="both"/>
        <w:rPr>
          <w:rFonts w:ascii="Times New Roman" w:hAnsi="Times New Roman"/>
          <w:b/>
          <w:sz w:val="28"/>
          <w:szCs w:val="28"/>
          <w:lang w:val="es-ES" w:eastAsia="es-ES"/>
        </w:rPr>
      </w:pPr>
      <w:r w:rsidRPr="00862128">
        <w:rPr>
          <w:rFonts w:ascii="Times New Roman" w:hAnsi="Times New Roman"/>
          <w:b/>
          <w:sz w:val="28"/>
          <w:szCs w:val="28"/>
          <w:lang w:val="es-ES" w:eastAsia="es-ES"/>
        </w:rPr>
        <w:t xml:space="preserve">Magistrada </w:t>
      </w:r>
      <w:bookmarkStart w:id="2" w:name="_Hlk49366715"/>
      <w:r w:rsidRPr="00862128">
        <w:rPr>
          <w:rFonts w:ascii="Times New Roman" w:hAnsi="Times New Roman"/>
          <w:b/>
          <w:sz w:val="28"/>
          <w:szCs w:val="28"/>
          <w:lang w:val="es-ES" w:eastAsia="es-ES"/>
        </w:rPr>
        <w:t>ponente</w:t>
      </w:r>
      <w:r w:rsidRPr="00862128">
        <w:rPr>
          <w:rFonts w:ascii="Times New Roman" w:hAnsi="Times New Roman"/>
          <w:b/>
          <w:sz w:val="28"/>
          <w:szCs w:val="28"/>
          <w:lang w:val="es-ES" w:eastAsia="es-ES"/>
        </w:rPr>
        <w:t>:</w:t>
      </w:r>
      <w:bookmarkStart w:id="3" w:name="_Hlk64628264"/>
      <w:bookmarkEnd w:id="2"/>
      <w:r w:rsidRPr="00862128">
        <w:rPr>
          <w:rFonts w:ascii="Times New Roman" w:hAnsi="Times New Roman"/>
          <w:b/>
          <w:sz w:val="28"/>
          <w:szCs w:val="28"/>
          <w:lang w:val="es-ES" w:eastAsia="es-ES"/>
        </w:rPr>
        <w:t xml:space="preserve"> </w:t>
      </w:r>
    </w:p>
    <w:p w:rsidR="00705B83" w:rsidRPr="00862128" w:rsidRDefault="00862128" w:rsidP="00BE5143">
      <w:pPr>
        <w:ind w:left="4253"/>
        <w:jc w:val="both"/>
        <w:rPr>
          <w:rFonts w:ascii="Times New Roman" w:hAnsi="Times New Roman"/>
          <w:sz w:val="28"/>
          <w:szCs w:val="28"/>
          <w:lang w:val="es-ES" w:eastAsia="es-ES"/>
        </w:rPr>
      </w:pPr>
      <w:r w:rsidRPr="00862128">
        <w:rPr>
          <w:rFonts w:ascii="Times New Roman" w:hAnsi="Times New Roman"/>
          <w:sz w:val="28"/>
          <w:szCs w:val="28"/>
          <w:lang w:val="es-ES" w:eastAsia="es-ES"/>
        </w:rPr>
        <w:t>Lina Marcela Escobar Martínez</w:t>
      </w:r>
    </w:p>
    <w:bookmarkEnd w:id="3"/>
    <w:p w:rsidR="00705B83" w:rsidRPr="00862128" w:rsidRDefault="00862128" w:rsidP="00BE5143">
      <w:pPr>
        <w:ind w:left="3362"/>
        <w:jc w:val="both"/>
        <w:rPr>
          <w:rFonts w:ascii="Times New Roman" w:hAnsi="Times New Roman"/>
          <w:b/>
          <w:sz w:val="28"/>
          <w:szCs w:val="28"/>
          <w:lang w:val="es-ES" w:eastAsia="es-ES"/>
        </w:rPr>
      </w:pPr>
    </w:p>
    <w:p w:rsidR="00705B83" w:rsidRPr="00862128" w:rsidRDefault="00862128" w:rsidP="00BE5143">
      <w:pPr>
        <w:ind w:left="3362"/>
        <w:jc w:val="both"/>
        <w:rPr>
          <w:rFonts w:ascii="Times New Roman" w:hAnsi="Times New Roman"/>
          <w:b/>
          <w:sz w:val="28"/>
          <w:szCs w:val="28"/>
          <w:lang w:val="es-ES" w:eastAsia="es-ES"/>
        </w:rPr>
      </w:pPr>
    </w:p>
    <w:p w:rsidR="00705B83" w:rsidRPr="00862128" w:rsidRDefault="00862128" w:rsidP="00BE5143">
      <w:pPr>
        <w:rPr>
          <w:rFonts w:ascii="Times New Roman" w:hAnsi="Times New Roman"/>
          <w:sz w:val="28"/>
          <w:szCs w:val="28"/>
          <w:lang w:val="es-ES"/>
        </w:rPr>
      </w:pPr>
      <w:r w:rsidRPr="00862128">
        <w:rPr>
          <w:rFonts w:ascii="Times New Roman" w:hAnsi="Times New Roman"/>
          <w:sz w:val="28"/>
          <w:szCs w:val="28"/>
          <w:lang w:val="es-ES"/>
        </w:rPr>
        <w:t xml:space="preserve">Bogotá D. C., </w:t>
      </w:r>
      <w:r w:rsidRPr="00862128">
        <w:rPr>
          <w:rFonts w:ascii="Times New Roman" w:hAnsi="Times New Roman"/>
          <w:sz w:val="28"/>
          <w:szCs w:val="28"/>
          <w:lang w:val="es-ES"/>
        </w:rPr>
        <w:t>diez</w:t>
      </w:r>
      <w:r w:rsidRPr="00862128">
        <w:rPr>
          <w:rFonts w:ascii="Times New Roman" w:hAnsi="Times New Roman"/>
          <w:sz w:val="28"/>
          <w:szCs w:val="28"/>
          <w:lang w:val="es-ES"/>
        </w:rPr>
        <w:t xml:space="preserve"> (</w:t>
      </w:r>
      <w:r w:rsidRPr="00862128">
        <w:rPr>
          <w:rFonts w:ascii="Times New Roman" w:hAnsi="Times New Roman"/>
          <w:sz w:val="28"/>
          <w:szCs w:val="28"/>
          <w:lang w:val="es-ES"/>
        </w:rPr>
        <w:t>10</w:t>
      </w:r>
      <w:r w:rsidRPr="00862128">
        <w:rPr>
          <w:rFonts w:ascii="Times New Roman" w:hAnsi="Times New Roman"/>
          <w:sz w:val="28"/>
          <w:szCs w:val="28"/>
          <w:lang w:val="es-ES"/>
        </w:rPr>
        <w:t xml:space="preserve">) de </w:t>
      </w:r>
      <w:r w:rsidRPr="00862128">
        <w:rPr>
          <w:rFonts w:ascii="Times New Roman" w:hAnsi="Times New Roman"/>
          <w:sz w:val="28"/>
          <w:szCs w:val="28"/>
          <w:lang w:val="es-ES"/>
        </w:rPr>
        <w:t>diciembre</w:t>
      </w:r>
      <w:r w:rsidRPr="00862128">
        <w:rPr>
          <w:rFonts w:ascii="Times New Roman" w:hAnsi="Times New Roman"/>
          <w:sz w:val="28"/>
          <w:szCs w:val="28"/>
          <w:lang w:val="es-ES"/>
        </w:rPr>
        <w:t xml:space="preserve"> de dos mil veinticinco (2025)</w:t>
      </w:r>
    </w:p>
    <w:p w:rsidR="00705B83" w:rsidRPr="00862128" w:rsidRDefault="00862128" w:rsidP="00BE5143">
      <w:pPr>
        <w:widowControl w:val="0"/>
        <w:tabs>
          <w:tab w:val="left" w:pos="1999"/>
        </w:tabs>
        <w:autoSpaceDE w:val="0"/>
        <w:autoSpaceDN w:val="0"/>
        <w:adjustRightInd w:val="0"/>
        <w:ind w:right="-200"/>
        <w:jc w:val="both"/>
        <w:rPr>
          <w:rFonts w:ascii="Times New Roman" w:eastAsia="Calibri" w:hAnsi="Times New Roman"/>
          <w:sz w:val="28"/>
          <w:szCs w:val="28"/>
          <w:lang w:val="es-ES"/>
        </w:rPr>
      </w:pPr>
      <w:r w:rsidRPr="00862128">
        <w:rPr>
          <w:rFonts w:ascii="Times New Roman" w:eastAsia="Calibri" w:hAnsi="Times New Roman"/>
          <w:sz w:val="28"/>
          <w:szCs w:val="28"/>
          <w:lang w:val="es-ES"/>
        </w:rPr>
        <w:tab/>
      </w:r>
    </w:p>
    <w:p w:rsidR="001354B6" w:rsidRPr="00862128" w:rsidRDefault="00862128" w:rsidP="00BE5143">
      <w:pPr>
        <w:jc w:val="both"/>
        <w:textAlignment w:val="baseline"/>
        <w:rPr>
          <w:rFonts w:ascii="Times New Roman" w:hAnsi="Times New Roman"/>
          <w:sz w:val="28"/>
          <w:szCs w:val="28"/>
          <w:bdr w:val="none" w:sz="0" w:space="0" w:color="auto" w:frame="1"/>
          <w:lang w:eastAsia="es-ES"/>
        </w:rPr>
      </w:pPr>
      <w:r w:rsidRPr="00862128">
        <w:rPr>
          <w:rFonts w:ascii="Times New Roman" w:hAnsi="Times New Roman"/>
          <w:sz w:val="28"/>
          <w:szCs w:val="28"/>
          <w:bdr w:val="none" w:sz="0" w:space="0" w:color="auto" w:frame="1"/>
          <w:lang w:eastAsia="es-ES"/>
        </w:rPr>
        <w:t xml:space="preserve">La Sala Plena de la Corte Constitucional, en ejercicio de sus atribuciones constitucionales y </w:t>
      </w:r>
      <w:r w:rsidRPr="00862128">
        <w:rPr>
          <w:rFonts w:ascii="Times New Roman" w:hAnsi="Times New Roman"/>
          <w:sz w:val="28"/>
          <w:szCs w:val="28"/>
          <w:bdr w:val="none" w:sz="0" w:space="0" w:color="auto" w:frame="1"/>
          <w:lang w:eastAsia="es-ES"/>
        </w:rPr>
        <w:t>legales</w:t>
      </w:r>
      <w:r w:rsidRPr="00862128">
        <w:rPr>
          <w:rFonts w:ascii="Times New Roman" w:hAnsi="Times New Roman"/>
          <w:sz w:val="28"/>
          <w:szCs w:val="28"/>
          <w:bdr w:val="none" w:sz="0" w:space="0" w:color="auto" w:frame="1"/>
          <w:lang w:eastAsia="es-ES"/>
        </w:rPr>
        <w:t xml:space="preserve">, </w:t>
      </w:r>
      <w:r w:rsidRPr="00862128">
        <w:rPr>
          <w:rFonts w:ascii="Times New Roman" w:hAnsi="Times New Roman"/>
          <w:sz w:val="28"/>
          <w:szCs w:val="28"/>
          <w:shd w:val="clear" w:color="auto" w:fill="FFFFFF"/>
          <w:lang w:eastAsia="es-ES"/>
        </w:rPr>
        <w:t xml:space="preserve">en especial de la prevista en el artículo 241 numeral 4 de la Constitución Política, </w:t>
      </w:r>
      <w:r w:rsidRPr="00862128">
        <w:rPr>
          <w:rFonts w:ascii="Times New Roman" w:hAnsi="Times New Roman"/>
          <w:sz w:val="28"/>
          <w:szCs w:val="28"/>
          <w:bdr w:val="none" w:sz="0" w:space="0" w:color="auto" w:frame="1"/>
          <w:lang w:eastAsia="es-ES"/>
        </w:rPr>
        <w:t xml:space="preserve">en cumplimiento de los requisitos y trámites establecidos en el Decreto Ley 2067 de 1991, ha dictado la siguiente </w:t>
      </w:r>
    </w:p>
    <w:p w:rsidR="001354B6" w:rsidRPr="00862128" w:rsidRDefault="00862128" w:rsidP="00BE5143">
      <w:pPr>
        <w:jc w:val="both"/>
        <w:textAlignment w:val="baseline"/>
        <w:rPr>
          <w:rFonts w:ascii="Times New Roman" w:hAnsi="Times New Roman"/>
          <w:sz w:val="28"/>
          <w:szCs w:val="28"/>
          <w:bdr w:val="none" w:sz="0" w:space="0" w:color="auto" w:frame="1"/>
          <w:lang w:eastAsia="es-ES"/>
        </w:rPr>
      </w:pPr>
    </w:p>
    <w:p w:rsidR="001354B6" w:rsidRPr="00862128" w:rsidRDefault="00862128" w:rsidP="00BE5143">
      <w:pPr>
        <w:jc w:val="center"/>
        <w:textAlignment w:val="baseline"/>
        <w:rPr>
          <w:rFonts w:ascii="Times New Roman" w:hAnsi="Times New Roman"/>
          <w:b/>
          <w:sz w:val="28"/>
          <w:szCs w:val="28"/>
          <w:bdr w:val="none" w:sz="0" w:space="0" w:color="auto" w:frame="1"/>
          <w:lang w:eastAsia="es-ES"/>
        </w:rPr>
      </w:pPr>
      <w:r w:rsidRPr="00862128">
        <w:rPr>
          <w:rFonts w:ascii="Times New Roman" w:hAnsi="Times New Roman"/>
          <w:b/>
          <w:sz w:val="28"/>
          <w:szCs w:val="28"/>
          <w:bdr w:val="none" w:sz="0" w:space="0" w:color="auto" w:frame="1"/>
          <w:lang w:eastAsia="es-ES"/>
        </w:rPr>
        <w:t>SENTENCIA</w:t>
      </w:r>
    </w:p>
    <w:p w:rsidR="00705B83" w:rsidRPr="00862128" w:rsidRDefault="00862128" w:rsidP="00BE5143">
      <w:pPr>
        <w:widowControl w:val="0"/>
        <w:autoSpaceDE w:val="0"/>
        <w:autoSpaceDN w:val="0"/>
        <w:adjustRightInd w:val="0"/>
        <w:ind w:right="-200"/>
        <w:rPr>
          <w:rFonts w:ascii="Times New Roman" w:eastAsia="Calibri" w:hAnsi="Times New Roman"/>
          <w:b/>
          <w:bCs/>
          <w:sz w:val="28"/>
          <w:szCs w:val="28"/>
          <w:lang w:val="es-ES"/>
        </w:rPr>
      </w:pPr>
    </w:p>
    <w:p w:rsidR="00D130AB"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b/>
          <w:bCs/>
          <w:sz w:val="28"/>
          <w:szCs w:val="28"/>
          <w:lang w:eastAsia="zh-CN"/>
        </w:rPr>
        <w:t>Síntesis de la decisión</w:t>
      </w:r>
    </w:p>
    <w:p w:rsidR="00D130AB"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 </w:t>
      </w:r>
    </w:p>
    <w:p w:rsidR="00094EC6"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 xml:space="preserve">La Corte estudió la demanda de inconstitucionalidad presentada contra </w:t>
      </w:r>
      <w:r w:rsidRPr="00862128">
        <w:rPr>
          <w:rFonts w:ascii="Times New Roman" w:hAnsi="Times New Roman"/>
          <w:sz w:val="28"/>
          <w:szCs w:val="28"/>
          <w:lang w:eastAsia="zh-CN"/>
        </w:rPr>
        <w:t xml:space="preserve">la expresión “firma electrónica” contenida en el </w:t>
      </w:r>
      <w:r w:rsidRPr="00862128">
        <w:rPr>
          <w:rFonts w:ascii="Times New Roman" w:hAnsi="Times New Roman"/>
          <w:sz w:val="28"/>
          <w:szCs w:val="28"/>
          <w:lang w:eastAsia="zh-CN"/>
        </w:rPr>
        <w:t>parágrafo 3 del artículo 45 de la Ley 1480 de 2011, adicionado por el artículo 7 de la Ley 2439 de 2024.</w:t>
      </w:r>
    </w:p>
    <w:p w:rsidR="00094EC6" w:rsidRPr="00862128" w:rsidRDefault="00862128" w:rsidP="00BE5143">
      <w:pPr>
        <w:shd w:val="clear" w:color="auto" w:fill="FFFFFF"/>
        <w:ind w:right="48"/>
        <w:jc w:val="both"/>
        <w:textAlignment w:val="baseline"/>
        <w:rPr>
          <w:rFonts w:ascii="Times New Roman" w:hAnsi="Times New Roman"/>
          <w:sz w:val="28"/>
          <w:szCs w:val="28"/>
          <w:lang w:eastAsia="zh-CN"/>
        </w:rPr>
      </w:pPr>
    </w:p>
    <w:p w:rsidR="00094EC6" w:rsidRPr="00862128" w:rsidRDefault="00862128" w:rsidP="00BE5143">
      <w:pPr>
        <w:shd w:val="clear" w:color="auto" w:fill="FFFFFF"/>
        <w:ind w:right="48"/>
        <w:jc w:val="both"/>
        <w:textAlignment w:val="baseline"/>
        <w:rPr>
          <w:rFonts w:ascii="Times New Roman" w:hAnsi="Times New Roman"/>
          <w:sz w:val="28"/>
          <w:szCs w:val="28"/>
          <w:shd w:val="clear" w:color="auto" w:fill="FFFFFF"/>
          <w:lang w:eastAsia="zh-CN"/>
        </w:rPr>
      </w:pPr>
      <w:r w:rsidRPr="00862128">
        <w:rPr>
          <w:rFonts w:ascii="Times New Roman" w:hAnsi="Times New Roman"/>
          <w:sz w:val="28"/>
          <w:szCs w:val="28"/>
          <w:shd w:val="clear" w:color="auto" w:fill="FFFFFF"/>
          <w:lang w:eastAsia="zh-CN"/>
        </w:rPr>
        <w:t>E</w:t>
      </w:r>
      <w:r w:rsidRPr="00862128">
        <w:rPr>
          <w:rFonts w:ascii="Times New Roman" w:hAnsi="Times New Roman"/>
          <w:sz w:val="28"/>
          <w:szCs w:val="28"/>
          <w:shd w:val="clear" w:color="auto" w:fill="FFFFFF"/>
          <w:lang w:eastAsia="zh-CN"/>
        </w:rPr>
        <w:t>se parágrafo señala que</w:t>
      </w:r>
      <w:r w:rsidRPr="00862128">
        <w:rPr>
          <w:rFonts w:ascii="Times New Roman" w:hAnsi="Times New Roman"/>
          <w:sz w:val="28"/>
          <w:szCs w:val="28"/>
          <w:shd w:val="clear" w:color="auto" w:fill="FFFFFF"/>
          <w:lang w:eastAsia="zh-CN"/>
        </w:rPr>
        <w:t xml:space="preserve"> la “fi</w:t>
      </w:r>
      <w:r w:rsidRPr="00862128">
        <w:rPr>
          <w:rFonts w:ascii="Times New Roman" w:hAnsi="Times New Roman"/>
          <w:sz w:val="28"/>
          <w:szCs w:val="28"/>
          <w:shd w:val="clear" w:color="auto" w:fill="FFFFFF"/>
          <w:lang w:eastAsia="zh-CN"/>
        </w:rPr>
        <w:t>rma electrónica” no hace parte de los rubros que se reputan como intereses, cuando el otorgamiento y ejecución de las operaciones de crédito se realicen mediante sistemas de financiación desarrollados a través de medios electrónicos.</w:t>
      </w:r>
    </w:p>
    <w:p w:rsidR="00D130AB" w:rsidRPr="00862128" w:rsidRDefault="00862128" w:rsidP="00BE5143">
      <w:pPr>
        <w:shd w:val="clear" w:color="auto" w:fill="FFFFFF"/>
        <w:ind w:right="48"/>
        <w:jc w:val="both"/>
        <w:textAlignment w:val="baseline"/>
        <w:rPr>
          <w:rFonts w:ascii="Times New Roman" w:hAnsi="Times New Roman"/>
          <w:sz w:val="28"/>
          <w:szCs w:val="28"/>
          <w:lang w:eastAsia="zh-CN"/>
        </w:rPr>
      </w:pPr>
    </w:p>
    <w:p w:rsidR="00CD2F10"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 xml:space="preserve">A juicio del </w:t>
      </w:r>
      <w:r w:rsidRPr="00862128">
        <w:rPr>
          <w:rFonts w:ascii="Times New Roman" w:hAnsi="Times New Roman"/>
          <w:sz w:val="28"/>
          <w:szCs w:val="28"/>
          <w:lang w:eastAsia="zh-CN"/>
        </w:rPr>
        <w:t>accionante, </w:t>
      </w:r>
      <w:r w:rsidRPr="00862128">
        <w:rPr>
          <w:rFonts w:ascii="Times New Roman" w:hAnsi="Times New Roman"/>
          <w:sz w:val="28"/>
          <w:szCs w:val="28"/>
          <w:lang w:eastAsia="zh-CN"/>
        </w:rPr>
        <w:t>la cita</w:t>
      </w:r>
      <w:r w:rsidRPr="00862128">
        <w:rPr>
          <w:rFonts w:ascii="Times New Roman" w:hAnsi="Times New Roman"/>
          <w:sz w:val="28"/>
          <w:szCs w:val="28"/>
          <w:lang w:eastAsia="zh-CN"/>
        </w:rPr>
        <w:t>da</w:t>
      </w:r>
      <w:r w:rsidRPr="00862128">
        <w:rPr>
          <w:rFonts w:ascii="Times New Roman" w:hAnsi="Times New Roman"/>
          <w:sz w:val="28"/>
          <w:szCs w:val="28"/>
          <w:lang w:eastAsia="zh-CN"/>
        </w:rPr>
        <w:t xml:space="preserve"> expresión </w:t>
      </w:r>
      <w:r w:rsidRPr="00862128">
        <w:rPr>
          <w:rFonts w:ascii="Times New Roman" w:hAnsi="Times New Roman"/>
          <w:sz w:val="28"/>
          <w:szCs w:val="28"/>
          <w:lang w:eastAsia="zh-CN"/>
        </w:rPr>
        <w:t>es contraria a la Constitución por violar los artículos 13 (principio de igualdad), 78 (protección de los consumidores) y 333 (libre competencia económica y libertad de empresa) de la Constitución Política.</w:t>
      </w:r>
    </w:p>
    <w:p w:rsidR="00446547" w:rsidRPr="00862128" w:rsidRDefault="00862128" w:rsidP="00BE5143">
      <w:pPr>
        <w:shd w:val="clear" w:color="auto" w:fill="FFFFFF"/>
        <w:ind w:right="48"/>
        <w:jc w:val="both"/>
        <w:textAlignment w:val="baseline"/>
        <w:rPr>
          <w:rFonts w:ascii="Times New Roman" w:hAnsi="Times New Roman"/>
          <w:sz w:val="28"/>
          <w:szCs w:val="28"/>
          <w:lang w:eastAsia="zh-CN"/>
        </w:rPr>
      </w:pPr>
    </w:p>
    <w:p w:rsidR="002537FA"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La Corte examinó</w:t>
      </w:r>
      <w:r w:rsidRPr="00862128">
        <w:rPr>
          <w:rFonts w:ascii="Times New Roman" w:hAnsi="Times New Roman"/>
          <w:sz w:val="28"/>
          <w:szCs w:val="28"/>
          <w:lang w:eastAsia="zh-CN"/>
        </w:rPr>
        <w:t xml:space="preserve"> la aptitud sustantiva de la demanda y encontró que no cumpl</w:t>
      </w:r>
      <w:r w:rsidRPr="00862128">
        <w:rPr>
          <w:rFonts w:ascii="Times New Roman" w:hAnsi="Times New Roman"/>
          <w:sz w:val="28"/>
          <w:szCs w:val="28"/>
          <w:lang w:eastAsia="zh-CN"/>
        </w:rPr>
        <w:t>ió</w:t>
      </w:r>
      <w:r w:rsidRPr="00862128">
        <w:rPr>
          <w:rFonts w:ascii="Times New Roman" w:hAnsi="Times New Roman"/>
          <w:sz w:val="28"/>
          <w:szCs w:val="28"/>
          <w:lang w:eastAsia="zh-CN"/>
        </w:rPr>
        <w:t xml:space="preserve"> </w:t>
      </w:r>
      <w:r w:rsidRPr="00862128">
        <w:rPr>
          <w:rFonts w:ascii="Times New Roman" w:hAnsi="Times New Roman"/>
          <w:sz w:val="28"/>
          <w:szCs w:val="28"/>
          <w:lang w:eastAsia="zh-CN"/>
        </w:rPr>
        <w:t>los requisitos de certeza, especificidad, pertinencia, suficiencia  y los criterios específicos relacionados con el principio de igualdad (no acreditó un trato diferencial del ordenamiento jurí</w:t>
      </w:r>
      <w:r w:rsidRPr="00862128">
        <w:rPr>
          <w:rFonts w:ascii="Times New Roman" w:hAnsi="Times New Roman"/>
          <w:sz w:val="28"/>
          <w:szCs w:val="28"/>
          <w:lang w:eastAsia="zh-CN"/>
        </w:rPr>
        <w:t xml:space="preserve">dico) </w:t>
      </w:r>
      <w:r w:rsidRPr="00862128">
        <w:rPr>
          <w:rFonts w:ascii="Times New Roman" w:hAnsi="Times New Roman"/>
          <w:sz w:val="28"/>
          <w:szCs w:val="28"/>
          <w:lang w:eastAsia="zh-CN"/>
        </w:rPr>
        <w:t xml:space="preserve">que </w:t>
      </w:r>
      <w:r w:rsidRPr="00862128">
        <w:rPr>
          <w:rFonts w:ascii="Times New Roman" w:hAnsi="Times New Roman"/>
          <w:sz w:val="28"/>
          <w:szCs w:val="28"/>
          <w:lang w:eastAsia="zh-CN"/>
        </w:rPr>
        <w:t xml:space="preserve">le </w:t>
      </w:r>
      <w:r w:rsidRPr="00862128">
        <w:rPr>
          <w:rFonts w:ascii="Times New Roman" w:hAnsi="Times New Roman"/>
          <w:sz w:val="28"/>
          <w:szCs w:val="28"/>
          <w:lang w:eastAsia="zh-CN"/>
        </w:rPr>
        <w:t xml:space="preserve">permitieran </w:t>
      </w:r>
      <w:r w:rsidRPr="00862128">
        <w:rPr>
          <w:rFonts w:ascii="Times New Roman" w:hAnsi="Times New Roman"/>
          <w:sz w:val="28"/>
          <w:szCs w:val="28"/>
          <w:lang w:eastAsia="zh-CN"/>
        </w:rPr>
        <w:t xml:space="preserve">realizar </w:t>
      </w:r>
      <w:r w:rsidRPr="00862128">
        <w:rPr>
          <w:rFonts w:ascii="Times New Roman" w:hAnsi="Times New Roman"/>
          <w:sz w:val="28"/>
          <w:szCs w:val="28"/>
          <w:lang w:eastAsia="zh-CN"/>
        </w:rPr>
        <w:t xml:space="preserve">un examen de fondo. </w:t>
      </w:r>
    </w:p>
    <w:p w:rsidR="002537FA" w:rsidRPr="00862128" w:rsidRDefault="00862128" w:rsidP="00BE5143">
      <w:pPr>
        <w:shd w:val="clear" w:color="auto" w:fill="FFFFFF"/>
        <w:ind w:right="48"/>
        <w:jc w:val="both"/>
        <w:textAlignment w:val="baseline"/>
        <w:rPr>
          <w:rFonts w:ascii="Times New Roman" w:hAnsi="Times New Roman"/>
          <w:sz w:val="28"/>
          <w:szCs w:val="28"/>
          <w:lang w:eastAsia="zh-CN"/>
        </w:rPr>
      </w:pPr>
    </w:p>
    <w:p w:rsidR="00D45268" w:rsidRPr="00862128" w:rsidRDefault="00862128" w:rsidP="00D45268">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El argumento en que se sostiene la demanda se basa en una hipótesis acerca de la interpretación del artículo 68 de la Ley 45 de 1990. La argumentación partió de una conclusión inferida por el demandante que no se desprende del texto expreso de la norma dem</w:t>
      </w:r>
      <w:r w:rsidRPr="00862128">
        <w:rPr>
          <w:rFonts w:ascii="Times New Roman" w:hAnsi="Times New Roman"/>
          <w:sz w:val="28"/>
          <w:szCs w:val="28"/>
          <w:lang w:eastAsia="zh-CN"/>
        </w:rPr>
        <w:t xml:space="preserve">andada sino de su lectura personal del citado artículo que utiliza como referencia para cuestionar la constitucionalidad de la expresión “firma electrónica” contenida en parágrafo 3 del artículo 45 de la Ley 1480 de 2011.   </w:t>
      </w:r>
    </w:p>
    <w:p w:rsidR="00D45268" w:rsidRPr="00862128" w:rsidRDefault="00862128" w:rsidP="00D45268">
      <w:pPr>
        <w:shd w:val="clear" w:color="auto" w:fill="FFFFFF"/>
        <w:ind w:right="48"/>
        <w:jc w:val="both"/>
        <w:textAlignment w:val="baseline"/>
        <w:rPr>
          <w:rFonts w:ascii="Times New Roman" w:hAnsi="Times New Roman"/>
          <w:sz w:val="28"/>
          <w:szCs w:val="28"/>
          <w:lang w:eastAsia="zh-CN"/>
        </w:rPr>
      </w:pPr>
    </w:p>
    <w:p w:rsidR="002537FA" w:rsidRPr="00862128" w:rsidRDefault="00862128" w:rsidP="00D45268">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Sin embargo, no existe en la l</w:t>
      </w:r>
      <w:r w:rsidRPr="00862128">
        <w:rPr>
          <w:rFonts w:ascii="Times New Roman" w:hAnsi="Times New Roman"/>
          <w:sz w:val="28"/>
          <w:szCs w:val="28"/>
          <w:lang w:eastAsia="zh-CN"/>
        </w:rPr>
        <w:t xml:space="preserve">ey ninguna disposición expresa que establezca que la ‘firma electrónica’ forma parte de los elementos que componen o integran el concepto de intereses. Por ende, el argumento central y decisivo de la demanda se </w:t>
      </w:r>
      <w:r w:rsidRPr="00862128">
        <w:rPr>
          <w:rFonts w:ascii="Times New Roman" w:hAnsi="Times New Roman"/>
          <w:sz w:val="28"/>
          <w:szCs w:val="28"/>
          <w:lang w:eastAsia="zh-CN"/>
        </w:rPr>
        <w:t>apoya</w:t>
      </w:r>
      <w:r w:rsidRPr="00862128">
        <w:rPr>
          <w:rFonts w:ascii="Times New Roman" w:hAnsi="Times New Roman"/>
          <w:sz w:val="28"/>
          <w:szCs w:val="28"/>
          <w:lang w:eastAsia="zh-CN"/>
        </w:rPr>
        <w:t xml:space="preserve"> en una interpretación </w:t>
      </w:r>
      <w:r w:rsidRPr="00862128">
        <w:rPr>
          <w:rFonts w:ascii="Times New Roman" w:hAnsi="Times New Roman"/>
          <w:sz w:val="28"/>
          <w:szCs w:val="28"/>
          <w:lang w:eastAsia="zh-CN"/>
        </w:rPr>
        <w:t>del demandante</w:t>
      </w:r>
      <w:r w:rsidRPr="00862128">
        <w:rPr>
          <w:rFonts w:ascii="Times New Roman" w:hAnsi="Times New Roman"/>
          <w:sz w:val="28"/>
          <w:szCs w:val="28"/>
          <w:lang w:eastAsia="zh-CN"/>
        </w:rPr>
        <w:t xml:space="preserve"> y </w:t>
      </w:r>
      <w:r w:rsidRPr="00862128">
        <w:rPr>
          <w:rFonts w:ascii="Times New Roman" w:hAnsi="Times New Roman"/>
          <w:sz w:val="28"/>
          <w:szCs w:val="28"/>
          <w:lang w:eastAsia="zh-CN"/>
        </w:rPr>
        <w:t xml:space="preserve">no en una disposición existente del ordenamiento legal. Esto, impregna de incertidumbre toda la demanda porque la misma parte de </w:t>
      </w:r>
      <w:r w:rsidRPr="00862128">
        <w:rPr>
          <w:rFonts w:ascii="Times New Roman" w:hAnsi="Times New Roman"/>
          <w:sz w:val="28"/>
          <w:szCs w:val="28"/>
          <w:lang w:eastAsia="zh-CN"/>
        </w:rPr>
        <w:t xml:space="preserve">la opinión </w:t>
      </w:r>
      <w:r w:rsidRPr="00862128">
        <w:rPr>
          <w:rFonts w:ascii="Times New Roman" w:hAnsi="Times New Roman"/>
          <w:sz w:val="28"/>
          <w:szCs w:val="28"/>
          <w:lang w:eastAsia="zh-CN"/>
        </w:rPr>
        <w:t xml:space="preserve">del accionante y no de un </w:t>
      </w:r>
      <w:r w:rsidRPr="00862128">
        <w:rPr>
          <w:rFonts w:ascii="Times New Roman" w:hAnsi="Times New Roman"/>
          <w:sz w:val="28"/>
          <w:szCs w:val="28"/>
          <w:lang w:eastAsia="zh-CN"/>
        </w:rPr>
        <w:t>mandato legal</w:t>
      </w:r>
      <w:r w:rsidRPr="00862128">
        <w:rPr>
          <w:rFonts w:ascii="Times New Roman" w:hAnsi="Times New Roman"/>
          <w:sz w:val="28"/>
          <w:szCs w:val="28"/>
          <w:lang w:eastAsia="zh-CN"/>
        </w:rPr>
        <w:t xml:space="preserve">. </w:t>
      </w:r>
    </w:p>
    <w:p w:rsidR="00D45268" w:rsidRPr="00862128" w:rsidRDefault="00862128" w:rsidP="00D45268">
      <w:pPr>
        <w:shd w:val="clear" w:color="auto" w:fill="FFFFFF"/>
        <w:ind w:right="48"/>
        <w:jc w:val="both"/>
        <w:textAlignment w:val="baseline"/>
        <w:rPr>
          <w:rFonts w:ascii="Times New Roman" w:hAnsi="Times New Roman"/>
          <w:sz w:val="28"/>
          <w:szCs w:val="28"/>
          <w:lang w:eastAsia="zh-CN"/>
        </w:rPr>
      </w:pPr>
    </w:p>
    <w:p w:rsidR="00D45268" w:rsidRPr="00862128" w:rsidRDefault="00862128" w:rsidP="00D45268">
      <w:pPr>
        <w:pStyle w:val="Prrafodelista"/>
        <w:tabs>
          <w:tab w:val="left" w:pos="567"/>
        </w:tabs>
        <w:ind w:left="0"/>
        <w:jc w:val="both"/>
        <w:rPr>
          <w:rFonts w:ascii="Times New Roman" w:hAnsi="Times New Roman"/>
          <w:sz w:val="28"/>
          <w:szCs w:val="28"/>
        </w:rPr>
      </w:pPr>
      <w:r w:rsidRPr="00862128">
        <w:rPr>
          <w:rFonts w:ascii="Times New Roman" w:hAnsi="Times New Roman"/>
          <w:sz w:val="28"/>
          <w:szCs w:val="28"/>
          <w:lang w:val="es-ES_tradnl"/>
        </w:rPr>
        <w:t>E</w:t>
      </w:r>
      <w:r w:rsidRPr="00862128">
        <w:rPr>
          <w:rFonts w:ascii="Times New Roman" w:hAnsi="Times New Roman"/>
          <w:sz w:val="28"/>
          <w:szCs w:val="28"/>
        </w:rPr>
        <w:t>l actor tampoco presentó un argumento jurídico constitucional para contrastar directamente la expresión “firma electrónica” frente a la Constitución con miras a establecer su inconstitucionalidad. La construcción de la demanda partió de una premisa interpr</w:t>
      </w:r>
      <w:r w:rsidRPr="00862128">
        <w:rPr>
          <w:rFonts w:ascii="Times New Roman" w:hAnsi="Times New Roman"/>
          <w:sz w:val="28"/>
          <w:szCs w:val="28"/>
        </w:rPr>
        <w:t xml:space="preserve">etativa del artículo 68 de la Ley 45 de 1990 que no se relaciona concreta y directamente con el parágrafo 3 del artículo 45 de la Ley 1480 de 2011. En otras palabras, el demandante no </w:t>
      </w:r>
      <w:r w:rsidRPr="00862128">
        <w:rPr>
          <w:rFonts w:ascii="Times New Roman" w:hAnsi="Times New Roman"/>
          <w:sz w:val="28"/>
          <w:szCs w:val="28"/>
        </w:rPr>
        <w:t xml:space="preserve">planteó un </w:t>
      </w:r>
      <w:r w:rsidRPr="00862128">
        <w:rPr>
          <w:rFonts w:ascii="Times New Roman" w:hAnsi="Times New Roman"/>
          <w:sz w:val="28"/>
          <w:szCs w:val="28"/>
        </w:rPr>
        <w:t>argumento de naturaleza constitucional</w:t>
      </w:r>
      <w:r w:rsidRPr="00862128">
        <w:rPr>
          <w:rFonts w:ascii="Times New Roman" w:hAnsi="Times New Roman"/>
          <w:sz w:val="28"/>
          <w:szCs w:val="28"/>
        </w:rPr>
        <w:t xml:space="preserve"> que confronte la</w:t>
      </w:r>
      <w:r w:rsidRPr="00862128">
        <w:rPr>
          <w:rFonts w:ascii="Times New Roman" w:hAnsi="Times New Roman"/>
          <w:sz w:val="28"/>
          <w:szCs w:val="28"/>
        </w:rPr>
        <w:t xml:space="preserve"> norma</w:t>
      </w:r>
      <w:r w:rsidRPr="00862128">
        <w:rPr>
          <w:rFonts w:ascii="Times New Roman" w:hAnsi="Times New Roman"/>
          <w:sz w:val="28"/>
          <w:szCs w:val="28"/>
        </w:rPr>
        <w:t xml:space="preserve"> demandada con la Constitución</w:t>
      </w:r>
      <w:r w:rsidRPr="00862128">
        <w:rPr>
          <w:rFonts w:ascii="Times New Roman" w:hAnsi="Times New Roman"/>
          <w:sz w:val="28"/>
          <w:szCs w:val="28"/>
        </w:rPr>
        <w:t xml:space="preserve">, sino </w:t>
      </w:r>
      <w:r w:rsidRPr="00862128">
        <w:rPr>
          <w:rFonts w:ascii="Times New Roman" w:hAnsi="Times New Roman"/>
          <w:sz w:val="28"/>
          <w:szCs w:val="28"/>
        </w:rPr>
        <w:t xml:space="preserve">que recurrió a </w:t>
      </w:r>
      <w:r w:rsidRPr="00862128">
        <w:rPr>
          <w:rFonts w:ascii="Times New Roman" w:hAnsi="Times New Roman"/>
          <w:sz w:val="28"/>
          <w:szCs w:val="28"/>
        </w:rPr>
        <w:t xml:space="preserve">interpretaciones personales de leyes y circulares como punto de partida y eje central para fundamentar su demanda. </w:t>
      </w:r>
    </w:p>
    <w:p w:rsidR="001E683E" w:rsidRPr="00862128" w:rsidRDefault="00862128" w:rsidP="00D45268">
      <w:pPr>
        <w:pStyle w:val="Prrafodelista"/>
        <w:tabs>
          <w:tab w:val="left" w:pos="567"/>
        </w:tabs>
        <w:ind w:left="0"/>
        <w:jc w:val="both"/>
        <w:rPr>
          <w:rFonts w:ascii="Times New Roman" w:hAnsi="Times New Roman"/>
          <w:sz w:val="28"/>
          <w:szCs w:val="28"/>
        </w:rPr>
      </w:pPr>
    </w:p>
    <w:p w:rsidR="001E683E" w:rsidRPr="00862128" w:rsidRDefault="00862128" w:rsidP="008F1C7C">
      <w:pPr>
        <w:pStyle w:val="Prrafodelista"/>
        <w:tabs>
          <w:tab w:val="left" w:pos="567"/>
        </w:tabs>
        <w:ind w:left="0"/>
        <w:jc w:val="both"/>
        <w:rPr>
          <w:rFonts w:ascii="Times New Roman" w:hAnsi="Times New Roman"/>
          <w:sz w:val="28"/>
          <w:szCs w:val="28"/>
          <w:lang w:val="es-ES_tradnl"/>
        </w:rPr>
      </w:pPr>
      <w:r w:rsidRPr="00862128">
        <w:rPr>
          <w:rFonts w:ascii="Times New Roman" w:hAnsi="Times New Roman"/>
          <w:sz w:val="28"/>
          <w:szCs w:val="28"/>
          <w:lang w:val="es-ES_tradnl"/>
        </w:rPr>
        <w:t xml:space="preserve">La demanda carece de argumentos de naturaleza estrictamente constitucional respecto de </w:t>
      </w:r>
      <w:r w:rsidRPr="00862128">
        <w:rPr>
          <w:rFonts w:ascii="Times New Roman" w:hAnsi="Times New Roman"/>
          <w:sz w:val="28"/>
          <w:szCs w:val="28"/>
          <w:lang w:val="es-ES_tradnl"/>
        </w:rPr>
        <w:t>la norma demandada y se basa en razones de orden legal</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y doctrinal</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 xml:space="preserve">Adicionalmente, </w:t>
      </w:r>
      <w:r w:rsidRPr="00862128">
        <w:rPr>
          <w:rFonts w:ascii="Times New Roman" w:hAnsi="Times New Roman"/>
          <w:bCs/>
          <w:sz w:val="28"/>
          <w:szCs w:val="28"/>
          <w:lang w:val="es-ES_tradnl"/>
        </w:rPr>
        <w:t>i</w:t>
      </w:r>
      <w:r w:rsidRPr="00862128">
        <w:rPr>
          <w:rFonts w:ascii="Times New Roman" w:hAnsi="Times New Roman"/>
          <w:bCs/>
          <w:sz w:val="28"/>
          <w:szCs w:val="28"/>
          <w:lang w:val="es-ES"/>
        </w:rPr>
        <w:t>ncorpora apreciaciones personales</w:t>
      </w:r>
      <w:r w:rsidRPr="00862128">
        <w:rPr>
          <w:rFonts w:ascii="Times New Roman" w:hAnsi="Times New Roman"/>
          <w:bCs/>
          <w:sz w:val="28"/>
          <w:szCs w:val="28"/>
          <w:lang w:val="es-ES"/>
        </w:rPr>
        <w:t xml:space="preserve">, plantea </w:t>
      </w:r>
      <w:r w:rsidRPr="00862128">
        <w:rPr>
          <w:rFonts w:ascii="Times New Roman" w:hAnsi="Times New Roman"/>
          <w:bCs/>
          <w:sz w:val="28"/>
          <w:szCs w:val="28"/>
          <w:lang w:val="es-ES"/>
        </w:rPr>
        <w:t>situaciones hipotéticas</w:t>
      </w:r>
      <w:r w:rsidRPr="00862128">
        <w:rPr>
          <w:rFonts w:ascii="Times New Roman" w:hAnsi="Times New Roman"/>
          <w:bCs/>
          <w:sz w:val="28"/>
          <w:szCs w:val="28"/>
          <w:lang w:val="es-ES"/>
        </w:rPr>
        <w:t xml:space="preserve"> o </w:t>
      </w:r>
      <w:r w:rsidRPr="00862128">
        <w:rPr>
          <w:rFonts w:ascii="Times New Roman" w:hAnsi="Times New Roman"/>
          <w:bCs/>
          <w:sz w:val="28"/>
          <w:szCs w:val="28"/>
          <w:lang w:val="es-ES"/>
        </w:rPr>
        <w:t>especulativas</w:t>
      </w:r>
      <w:r w:rsidRPr="00862128">
        <w:rPr>
          <w:rFonts w:ascii="Times New Roman" w:hAnsi="Times New Roman"/>
          <w:bCs/>
          <w:sz w:val="28"/>
          <w:szCs w:val="28"/>
          <w:lang w:val="es-ES"/>
        </w:rPr>
        <w:t xml:space="preserve"> </w:t>
      </w:r>
      <w:r w:rsidRPr="00862128">
        <w:rPr>
          <w:rFonts w:ascii="Times New Roman" w:hAnsi="Times New Roman"/>
          <w:bCs/>
          <w:sz w:val="28"/>
          <w:szCs w:val="28"/>
          <w:lang w:val="es-ES"/>
        </w:rPr>
        <w:t xml:space="preserve">en las que la norma presuntamente será aplicada, que no necesariamente corresponden con </w:t>
      </w:r>
      <w:r w:rsidRPr="00862128">
        <w:rPr>
          <w:rFonts w:ascii="Times New Roman" w:hAnsi="Times New Roman"/>
          <w:bCs/>
          <w:sz w:val="28"/>
          <w:szCs w:val="28"/>
          <w:lang w:val="es-ES"/>
        </w:rPr>
        <w:t>la realidad</w:t>
      </w:r>
      <w:r w:rsidRPr="00862128">
        <w:rPr>
          <w:rFonts w:ascii="Times New Roman" w:hAnsi="Times New Roman"/>
          <w:bCs/>
          <w:sz w:val="28"/>
          <w:szCs w:val="28"/>
          <w:lang w:val="es-ES"/>
        </w:rPr>
        <w:t xml:space="preserve">. Algunas </w:t>
      </w:r>
      <w:r w:rsidRPr="00862128">
        <w:rPr>
          <w:rFonts w:ascii="Times New Roman" w:hAnsi="Times New Roman"/>
          <w:bCs/>
          <w:sz w:val="28"/>
          <w:szCs w:val="28"/>
        </w:rPr>
        <w:t>afirmaciones no se sustentan en pruebas concretas, sino en inferencias sobre cómo podrían actuar los agentes del mercado y los consumidores, lo que no configura una situación objetivamente cierta en todos los casos, sino una posibilida</w:t>
      </w:r>
      <w:r w:rsidRPr="00862128">
        <w:rPr>
          <w:rFonts w:ascii="Times New Roman" w:hAnsi="Times New Roman"/>
          <w:bCs/>
          <w:sz w:val="28"/>
          <w:szCs w:val="28"/>
        </w:rPr>
        <w:t>d basada en conjeturas.</w:t>
      </w:r>
    </w:p>
    <w:p w:rsidR="002537FA" w:rsidRPr="00862128" w:rsidRDefault="00862128" w:rsidP="00BE5143">
      <w:pPr>
        <w:shd w:val="clear" w:color="auto" w:fill="FFFFFF"/>
        <w:ind w:right="48"/>
        <w:jc w:val="both"/>
        <w:textAlignment w:val="baseline"/>
        <w:rPr>
          <w:rFonts w:ascii="Times New Roman" w:hAnsi="Times New Roman"/>
          <w:sz w:val="28"/>
          <w:szCs w:val="28"/>
          <w:lang w:eastAsia="zh-CN"/>
        </w:rPr>
      </w:pPr>
    </w:p>
    <w:p w:rsidR="00446547" w:rsidRPr="00862128" w:rsidRDefault="00862128" w:rsidP="00BE5143">
      <w:pPr>
        <w:shd w:val="clear" w:color="auto" w:fill="FFFFFF"/>
        <w:ind w:right="48"/>
        <w:jc w:val="both"/>
        <w:textAlignment w:val="baseline"/>
        <w:rPr>
          <w:rFonts w:ascii="Times New Roman" w:hAnsi="Times New Roman"/>
          <w:sz w:val="28"/>
          <w:szCs w:val="28"/>
          <w:lang w:eastAsia="zh-CN"/>
        </w:rPr>
      </w:pPr>
      <w:r w:rsidRPr="00862128">
        <w:rPr>
          <w:rFonts w:ascii="Times New Roman" w:hAnsi="Times New Roman"/>
          <w:sz w:val="28"/>
          <w:szCs w:val="28"/>
          <w:lang w:eastAsia="zh-CN"/>
        </w:rPr>
        <w:t>Con fundamento en lo expuesto, la Corte decidió inhibirse para emitir un pronunciamiento de fondo por ineptitud sustantiva de la demanda.</w:t>
      </w:r>
    </w:p>
    <w:p w:rsidR="00D130AB" w:rsidRPr="00862128" w:rsidRDefault="00862128" w:rsidP="00BE5143">
      <w:pPr>
        <w:widowControl w:val="0"/>
        <w:autoSpaceDE w:val="0"/>
        <w:autoSpaceDN w:val="0"/>
        <w:adjustRightInd w:val="0"/>
        <w:ind w:right="-200"/>
        <w:rPr>
          <w:rFonts w:ascii="Times New Roman" w:eastAsia="Calibri" w:hAnsi="Times New Roman"/>
          <w:b/>
          <w:bCs/>
          <w:sz w:val="28"/>
          <w:szCs w:val="28"/>
          <w:lang w:val="es-ES_tradnl"/>
        </w:rPr>
      </w:pPr>
    </w:p>
    <w:p w:rsidR="00D130AB" w:rsidRPr="00862128" w:rsidRDefault="00862128" w:rsidP="00BE5143">
      <w:pPr>
        <w:pStyle w:val="TtuloTDC"/>
        <w:spacing w:before="0" w:line="240" w:lineRule="auto"/>
        <w:rPr>
          <w:rFonts w:ascii="Times New Roman" w:hAnsi="Times New Roman"/>
          <w:color w:val="auto"/>
        </w:rPr>
      </w:pPr>
      <w:r w:rsidRPr="00862128">
        <w:rPr>
          <w:rFonts w:ascii="Times New Roman" w:hAnsi="Times New Roman"/>
          <w:color w:val="auto"/>
          <w:lang w:val="es-ES"/>
        </w:rPr>
        <w:t>Tabla de contenido</w:t>
      </w:r>
    </w:p>
    <w:p w:rsidR="00B306EA" w:rsidRPr="00862128" w:rsidRDefault="00862128">
      <w:pPr>
        <w:pStyle w:val="TDC1"/>
        <w:tabs>
          <w:tab w:val="left" w:pos="480"/>
          <w:tab w:val="right" w:leader="dot" w:pos="8828"/>
        </w:tabs>
        <w:rPr>
          <w:rFonts w:ascii="Times New Roman" w:hAnsi="Times New Roman"/>
          <w:b w:val="0"/>
          <w:bCs w:val="0"/>
          <w:i w:val="0"/>
          <w:iCs w:val="0"/>
          <w:noProof/>
          <w:sz w:val="28"/>
          <w:szCs w:val="24"/>
          <w:lang w:eastAsia="zh-CN"/>
        </w:rPr>
      </w:pPr>
      <w:r w:rsidRPr="00862128">
        <w:rPr>
          <w:rFonts w:ascii="Times New Roman" w:hAnsi="Times New Roman"/>
          <w:b w:val="0"/>
          <w:bCs w:val="0"/>
          <w:sz w:val="28"/>
        </w:rPr>
        <w:fldChar w:fldCharType="begin"/>
      </w:r>
      <w:r w:rsidRPr="00862128">
        <w:rPr>
          <w:rFonts w:ascii="Times New Roman" w:hAnsi="Times New Roman"/>
          <w:sz w:val="28"/>
        </w:rPr>
        <w:instrText>TOC \o "1-3" \h \z \u</w:instrText>
      </w:r>
      <w:r w:rsidRPr="00862128">
        <w:rPr>
          <w:rFonts w:ascii="Times New Roman" w:hAnsi="Times New Roman"/>
          <w:b w:val="0"/>
          <w:bCs w:val="0"/>
          <w:sz w:val="28"/>
        </w:rPr>
        <w:fldChar w:fldCharType="separate"/>
      </w:r>
      <w:hyperlink w:anchor="_Toc223713271" w:history="1">
        <w:r w:rsidRPr="00862128">
          <w:rPr>
            <w:rStyle w:val="Hipervnculo"/>
            <w:rFonts w:ascii="Times New Roman" w:hAnsi="Times New Roman"/>
            <w:noProof/>
            <w:sz w:val="28"/>
            <w:lang w:val="es-ES"/>
          </w:rPr>
          <w:t>I.</w:t>
        </w:r>
        <w:r w:rsidRPr="00862128">
          <w:rPr>
            <w:rFonts w:ascii="Times New Roman" w:hAnsi="Times New Roman"/>
            <w:b w:val="0"/>
            <w:bCs w:val="0"/>
            <w:i w:val="0"/>
            <w:iCs w:val="0"/>
            <w:noProof/>
            <w:sz w:val="28"/>
            <w:szCs w:val="24"/>
            <w:lang w:eastAsia="zh-CN"/>
          </w:rPr>
          <w:tab/>
        </w:r>
        <w:r w:rsidRPr="00862128">
          <w:rPr>
            <w:rStyle w:val="Hipervnculo"/>
            <w:rFonts w:ascii="Times New Roman" w:hAnsi="Times New Roman"/>
            <w:noProof/>
            <w:sz w:val="28"/>
            <w:lang w:val="es-ES"/>
          </w:rPr>
          <w:t>ANTECEDENTES</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_Toc223713271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3</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2" w:history="1">
        <w:r w:rsidRPr="00862128">
          <w:rPr>
            <w:rStyle w:val="Hipervnculo"/>
            <w:rFonts w:ascii="Times New Roman" w:hAnsi="Times New Roman"/>
            <w:b/>
            <w:bCs/>
            <w:noProof/>
            <w:sz w:val="28"/>
            <w:lang w:val="es-ES" w:eastAsia="es-ES"/>
          </w:rPr>
          <w:t>1. Hechos</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_Toc223713272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3</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3" w:history="1">
        <w:r w:rsidRPr="00862128">
          <w:rPr>
            <w:rStyle w:val="Hipervnculo"/>
            <w:rFonts w:ascii="Times New Roman" w:hAnsi="Times New Roman"/>
            <w:b/>
            <w:bCs/>
            <w:noProof/>
            <w:sz w:val="28"/>
          </w:rPr>
          <w:t>2. Norma demandada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_Toc223713273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4</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4" w:history="1">
        <w:r w:rsidRPr="00862128">
          <w:rPr>
            <w:rStyle w:val="Hipervnculo"/>
            <w:rFonts w:ascii="Times New Roman" w:hAnsi="Times New Roman"/>
            <w:b/>
            <w:bCs/>
            <w:noProof/>
            <w:sz w:val="28"/>
          </w:rPr>
          <w:t>3. La demanda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_Toc223713274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5</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5" w:history="1">
        <w:r w:rsidRPr="00862128">
          <w:rPr>
            <w:rStyle w:val="Hipervnculo"/>
            <w:rFonts w:ascii="Times New Roman" w:hAnsi="Times New Roman"/>
            <w:b/>
            <w:bCs/>
            <w:noProof/>
            <w:sz w:val="28"/>
          </w:rPr>
          <w:t>4. Intervenciones</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_Toc223713275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9</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6" w:history="1">
        <w:r w:rsidRPr="00862128">
          <w:rPr>
            <w:rStyle w:val="Hipervnculo"/>
            <w:rFonts w:ascii="Times New Roman" w:hAnsi="Times New Roman"/>
            <w:b/>
            <w:bCs/>
            <w:noProof/>
            <w:sz w:val="28"/>
          </w:rPr>
          <w:t xml:space="preserve">4.1. </w:t>
        </w:r>
        <w:r w:rsidRPr="00862128">
          <w:rPr>
            <w:rStyle w:val="Hipervnculo"/>
            <w:rFonts w:ascii="Times New Roman" w:hAnsi="Times New Roman"/>
            <w:b/>
            <w:bCs/>
            <w:noProof/>
            <w:sz w:val="28"/>
          </w:rPr>
          <w:t>Argumentos para solicitar a la Corte que se declare inhibida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_Toc223713276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10</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7" w:history="1">
        <w:r w:rsidRPr="00862128">
          <w:rPr>
            <w:rStyle w:val="Hipervnculo"/>
            <w:rFonts w:ascii="Times New Roman" w:hAnsi="Times New Roman"/>
            <w:b/>
            <w:bCs/>
            <w:noProof/>
            <w:sz w:val="28"/>
          </w:rPr>
          <w:t>4.2. Argumentos de exequibilidad</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_Toc223713277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13</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8" w:history="1">
        <w:r w:rsidRPr="00862128">
          <w:rPr>
            <w:rStyle w:val="Hipervnculo"/>
            <w:rFonts w:ascii="Times New Roman" w:hAnsi="Times New Roman"/>
            <w:b/>
            <w:bCs/>
            <w:noProof/>
            <w:sz w:val="28"/>
          </w:rPr>
          <w:t>4.3. Argumentos de inexequibilidad</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_Toc223713278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16</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79" w:history="1">
        <w:r w:rsidRPr="00862128">
          <w:rPr>
            <w:rStyle w:val="Hipervnculo"/>
            <w:rFonts w:ascii="Times New Roman" w:hAnsi="Times New Roman"/>
            <w:b/>
            <w:bCs/>
            <w:noProof/>
            <w:sz w:val="28"/>
          </w:rPr>
          <w:t>4.4. Intervenciones que no adoptan ninguna posición</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_Toc223713279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18</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0" w:history="1">
        <w:r w:rsidRPr="00862128">
          <w:rPr>
            <w:rStyle w:val="Hipervnculo"/>
            <w:rFonts w:ascii="Times New Roman" w:hAnsi="Times New Roman"/>
            <w:b/>
            <w:bCs/>
            <w:noProof/>
            <w:sz w:val="28"/>
          </w:rPr>
          <w:t>5. Concepto de la Procuraduría General de la Nación</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_Toc223713280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19</w:t>
        </w:r>
        <w:r w:rsidRPr="00862128">
          <w:rPr>
            <w:rFonts w:ascii="Times New Roman" w:hAnsi="Times New Roman"/>
            <w:noProof/>
            <w:webHidden/>
            <w:sz w:val="28"/>
          </w:rPr>
          <w:fldChar w:fldCharType="end"/>
        </w:r>
      </w:hyperlink>
    </w:p>
    <w:p w:rsidR="00B306EA" w:rsidRPr="00862128" w:rsidRDefault="00862128">
      <w:pPr>
        <w:pStyle w:val="TDC1"/>
        <w:tabs>
          <w:tab w:val="right" w:leader="dot" w:pos="8828"/>
        </w:tabs>
        <w:rPr>
          <w:rFonts w:ascii="Times New Roman" w:hAnsi="Times New Roman"/>
          <w:b w:val="0"/>
          <w:bCs w:val="0"/>
          <w:i w:val="0"/>
          <w:iCs w:val="0"/>
          <w:noProof/>
          <w:sz w:val="28"/>
          <w:szCs w:val="24"/>
          <w:lang w:eastAsia="zh-CN"/>
        </w:rPr>
      </w:pPr>
      <w:hyperlink w:anchor="_Toc223713281" w:history="1">
        <w:r w:rsidRPr="00862128">
          <w:rPr>
            <w:rStyle w:val="Hipervnculo"/>
            <w:rFonts w:ascii="Times New Roman" w:hAnsi="Times New Roman"/>
            <w:noProof/>
            <w:sz w:val="28"/>
          </w:rPr>
          <w:t>II. CONSIDERACIONES</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_Toc223713281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20</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2" w:history="1">
        <w:r w:rsidRPr="00862128">
          <w:rPr>
            <w:rStyle w:val="Hipervnculo"/>
            <w:rFonts w:ascii="Times New Roman" w:hAnsi="Times New Roman"/>
            <w:b/>
            <w:bCs/>
            <w:noProof/>
            <w:sz w:val="28"/>
          </w:rPr>
          <w:t>1. Competencia de la Corte</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_Toc223713282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20</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3" w:history="1">
        <w:r w:rsidRPr="00862128">
          <w:rPr>
            <w:rStyle w:val="Hipervnculo"/>
            <w:rFonts w:ascii="Times New Roman" w:hAnsi="Times New Roman"/>
            <w:b/>
            <w:bCs/>
            <w:noProof/>
            <w:sz w:val="28"/>
          </w:rPr>
          <w:t>2. Análisis de constitucionalidad</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_Toc223713283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20</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4" w:history="1">
        <w:r w:rsidRPr="00862128">
          <w:rPr>
            <w:rStyle w:val="Hipervnculo"/>
            <w:rFonts w:ascii="Times New Roman" w:hAnsi="Times New Roman"/>
            <w:b/>
            <w:bCs/>
            <w:noProof/>
            <w:sz w:val="28"/>
          </w:rPr>
          <w:t>3. Cuestión previa: análisis sobre la aptitud sustantiva de la demanda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_Toc223713284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25</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5" w:history="1">
        <w:r w:rsidRPr="00862128">
          <w:rPr>
            <w:rStyle w:val="Hipervnculo"/>
            <w:rFonts w:ascii="Times New Roman" w:hAnsi="Times New Roman"/>
            <w:b/>
            <w:bCs/>
            <w:noProof/>
            <w:sz w:val="28"/>
          </w:rPr>
          <w:t>3.1. Requisitos de procedibilidad de la acción pública de inconstitucionalidad</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_Toc223713285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28</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6" w:history="1">
        <w:r w:rsidRPr="00862128">
          <w:rPr>
            <w:rStyle w:val="Hipervnculo"/>
            <w:rFonts w:ascii="Times New Roman" w:hAnsi="Times New Roman"/>
            <w:b/>
            <w:bCs/>
            <w:noProof/>
            <w:sz w:val="28"/>
            <w:lang w:val="es-ES_tradnl"/>
          </w:rPr>
          <w:t xml:space="preserve">3.2. </w:t>
        </w:r>
        <w:r w:rsidRPr="00862128">
          <w:rPr>
            <w:rStyle w:val="Hipervnculo"/>
            <w:rFonts w:ascii="Times New Roman" w:hAnsi="Times New Roman"/>
            <w:b/>
            <w:bCs/>
            <w:noProof/>
            <w:sz w:val="28"/>
            <w:lang w:val="es-ES"/>
          </w:rPr>
          <w:t>E</w:t>
        </w:r>
        <w:r w:rsidRPr="00862128">
          <w:rPr>
            <w:rStyle w:val="Hipervnculo"/>
            <w:rFonts w:ascii="Times New Roman" w:hAnsi="Times New Roman"/>
            <w:b/>
            <w:bCs/>
            <w:noProof/>
            <w:sz w:val="28"/>
            <w:lang w:val="es-ES"/>
          </w:rPr>
          <w:t>l cargo sobre violación del principio de igualdad no acredita un trato diferencial del ordenamiento jurídico, ni cumple los requisitos de certeza, especificidad, pertinencia y suficiencia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_Toc223713286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31</w:t>
        </w:r>
        <w:r w:rsidRPr="00862128">
          <w:rPr>
            <w:rFonts w:ascii="Times New Roman" w:hAnsi="Times New Roman"/>
            <w:noProof/>
            <w:webHidden/>
            <w:sz w:val="28"/>
          </w:rPr>
          <w:fldChar w:fldCharType="end"/>
        </w:r>
      </w:hyperlink>
    </w:p>
    <w:p w:rsidR="00B306EA" w:rsidRPr="00862128" w:rsidRDefault="00862128">
      <w:pPr>
        <w:pStyle w:val="TDC3"/>
        <w:tabs>
          <w:tab w:val="right" w:leader="dot" w:pos="8828"/>
        </w:tabs>
        <w:rPr>
          <w:rFonts w:ascii="Times New Roman" w:hAnsi="Times New Roman"/>
          <w:noProof/>
          <w:sz w:val="28"/>
          <w:lang w:eastAsia="zh-CN"/>
        </w:rPr>
      </w:pPr>
      <w:hyperlink w:anchor="_Toc223713287" w:history="1">
        <w:r w:rsidRPr="00862128">
          <w:rPr>
            <w:rStyle w:val="Hipervnculo"/>
            <w:rFonts w:ascii="Times New Roman" w:hAnsi="Times New Roman"/>
            <w:b/>
            <w:bCs/>
            <w:noProof/>
            <w:sz w:val="28"/>
            <w:lang w:val="es-ES_tradnl"/>
          </w:rPr>
          <w:t xml:space="preserve">3.3. </w:t>
        </w:r>
        <w:r w:rsidRPr="00862128">
          <w:rPr>
            <w:rStyle w:val="Hipervnculo"/>
            <w:rFonts w:ascii="Times New Roman" w:hAnsi="Times New Roman"/>
            <w:b/>
            <w:bCs/>
            <w:noProof/>
            <w:sz w:val="28"/>
          </w:rPr>
          <w:t>Los cargos por violación de los derechos del consumidor y de la libertad de empresa carecen de certeza, especificidad, pertinencia y suficiencia</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_Toc223713287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40</w:t>
        </w:r>
        <w:r w:rsidRPr="00862128">
          <w:rPr>
            <w:rFonts w:ascii="Times New Roman" w:hAnsi="Times New Roman"/>
            <w:noProof/>
            <w:webHidden/>
            <w:sz w:val="28"/>
          </w:rPr>
          <w:fldChar w:fldCharType="end"/>
        </w:r>
      </w:hyperlink>
    </w:p>
    <w:p w:rsidR="00B306EA" w:rsidRPr="00862128" w:rsidRDefault="00862128">
      <w:pPr>
        <w:pStyle w:val="TDC1"/>
        <w:tabs>
          <w:tab w:val="right" w:leader="dot" w:pos="8828"/>
        </w:tabs>
        <w:rPr>
          <w:rFonts w:ascii="Times New Roman" w:hAnsi="Times New Roman"/>
          <w:b w:val="0"/>
          <w:bCs w:val="0"/>
          <w:i w:val="0"/>
          <w:iCs w:val="0"/>
          <w:noProof/>
          <w:sz w:val="28"/>
          <w:szCs w:val="24"/>
          <w:lang w:eastAsia="zh-CN"/>
        </w:rPr>
      </w:pPr>
      <w:hyperlink w:anchor="_Toc223713288" w:history="1">
        <w:r w:rsidRPr="00862128">
          <w:rPr>
            <w:rStyle w:val="Hipervnculo"/>
            <w:rFonts w:ascii="Times New Roman" w:hAnsi="Times New Roman"/>
            <w:noProof/>
            <w:sz w:val="28"/>
          </w:rPr>
          <w:t>III. DECISIÓN</w:t>
        </w:r>
        <w:r w:rsidRPr="00862128">
          <w:rPr>
            <w:rFonts w:ascii="Times New Roman" w:hAnsi="Times New Roman"/>
            <w:noProof/>
            <w:webHidden/>
            <w:sz w:val="28"/>
          </w:rPr>
          <w:tab/>
        </w:r>
        <w:r w:rsidRPr="00862128">
          <w:rPr>
            <w:rFonts w:ascii="Times New Roman" w:hAnsi="Times New Roman"/>
            <w:noProof/>
            <w:webHidden/>
            <w:sz w:val="28"/>
          </w:rPr>
          <w:fldChar w:fldCharType="begin"/>
        </w:r>
        <w:r w:rsidRPr="00862128">
          <w:rPr>
            <w:rFonts w:ascii="Times New Roman" w:hAnsi="Times New Roman"/>
            <w:noProof/>
            <w:webHidden/>
            <w:sz w:val="28"/>
          </w:rPr>
          <w:instrText xml:space="preserve"> PAGEREF _Toc223713288 \h </w:instrText>
        </w:r>
        <w:r w:rsidRPr="00862128">
          <w:rPr>
            <w:rFonts w:ascii="Times New Roman" w:hAnsi="Times New Roman"/>
            <w:noProof/>
            <w:webHidden/>
            <w:sz w:val="28"/>
          </w:rPr>
        </w:r>
        <w:r w:rsidRPr="00862128">
          <w:rPr>
            <w:rFonts w:ascii="Times New Roman" w:hAnsi="Times New Roman"/>
            <w:noProof/>
            <w:webHidden/>
            <w:sz w:val="28"/>
          </w:rPr>
          <w:fldChar w:fldCharType="separate"/>
        </w:r>
        <w:r w:rsidRPr="00862128">
          <w:rPr>
            <w:rFonts w:ascii="Times New Roman" w:hAnsi="Times New Roman"/>
            <w:noProof/>
            <w:webHidden/>
            <w:sz w:val="28"/>
          </w:rPr>
          <w:t>45</w:t>
        </w:r>
        <w:r w:rsidRPr="00862128">
          <w:rPr>
            <w:rFonts w:ascii="Times New Roman" w:hAnsi="Times New Roman"/>
            <w:noProof/>
            <w:webHidden/>
            <w:sz w:val="28"/>
          </w:rPr>
          <w:fldChar w:fldCharType="end"/>
        </w:r>
      </w:hyperlink>
    </w:p>
    <w:p w:rsidR="00D130AB" w:rsidRPr="00862128" w:rsidRDefault="00862128" w:rsidP="00BE5143">
      <w:pPr>
        <w:rPr>
          <w:rFonts w:ascii="Times New Roman" w:hAnsi="Times New Roman"/>
          <w:sz w:val="28"/>
          <w:szCs w:val="28"/>
        </w:rPr>
      </w:pPr>
      <w:r w:rsidRPr="00862128">
        <w:rPr>
          <w:rFonts w:ascii="Times New Roman" w:hAnsi="Times New Roman"/>
          <w:b/>
          <w:bCs/>
          <w:noProof/>
          <w:sz w:val="28"/>
          <w:szCs w:val="28"/>
        </w:rPr>
        <w:fldChar w:fldCharType="end"/>
      </w:r>
    </w:p>
    <w:p w:rsidR="00705B83" w:rsidRPr="00862128" w:rsidRDefault="00862128" w:rsidP="00BE5143">
      <w:pPr>
        <w:pStyle w:val="Ttulo1"/>
        <w:numPr>
          <w:ilvl w:val="0"/>
          <w:numId w:val="3"/>
        </w:numPr>
        <w:spacing w:before="0" w:after="0"/>
        <w:rPr>
          <w:rFonts w:ascii="Times New Roman" w:hAnsi="Times New Roman"/>
          <w:color w:val="auto"/>
          <w:sz w:val="28"/>
          <w:szCs w:val="28"/>
          <w:lang w:val="es-ES"/>
        </w:rPr>
      </w:pPr>
      <w:bookmarkStart w:id="4" w:name="_Toc223713271"/>
      <w:r w:rsidRPr="00862128">
        <w:rPr>
          <w:rFonts w:ascii="Times New Roman" w:hAnsi="Times New Roman"/>
          <w:b/>
          <w:bCs/>
          <w:color w:val="auto"/>
          <w:sz w:val="28"/>
          <w:szCs w:val="28"/>
          <w:lang w:val="es-ES"/>
        </w:rPr>
        <w:t>ANTECEDENTES</w:t>
      </w:r>
      <w:bookmarkEnd w:id="4"/>
    </w:p>
    <w:p w:rsidR="00705B83" w:rsidRPr="00862128" w:rsidRDefault="00862128" w:rsidP="00BE5143">
      <w:pPr>
        <w:jc w:val="both"/>
        <w:rPr>
          <w:rFonts w:ascii="Times New Roman" w:eastAsia="Calibri" w:hAnsi="Times New Roman"/>
          <w:sz w:val="28"/>
          <w:szCs w:val="28"/>
          <w:lang w:val="es-ES" w:eastAsia="es-ES"/>
        </w:rPr>
      </w:pPr>
    </w:p>
    <w:p w:rsidR="0092797C" w:rsidRPr="00862128" w:rsidRDefault="00862128" w:rsidP="00BE5143">
      <w:pPr>
        <w:pStyle w:val="Ttulo3"/>
        <w:spacing w:before="0" w:after="0"/>
        <w:rPr>
          <w:rFonts w:ascii="Times New Roman" w:hAnsi="Times New Roman"/>
          <w:b/>
          <w:bCs/>
          <w:lang w:val="es-ES" w:eastAsia="es-ES"/>
        </w:rPr>
      </w:pPr>
      <w:bookmarkStart w:id="5" w:name="_Toc223713272"/>
      <w:r w:rsidRPr="00862128">
        <w:rPr>
          <w:rFonts w:ascii="Times New Roman" w:hAnsi="Times New Roman"/>
          <w:b/>
          <w:bCs/>
          <w:lang w:val="es-ES" w:eastAsia="es-ES"/>
        </w:rPr>
        <w:t xml:space="preserve">1. </w:t>
      </w:r>
      <w:r w:rsidRPr="00862128">
        <w:rPr>
          <w:rFonts w:ascii="Times New Roman" w:hAnsi="Times New Roman"/>
          <w:b/>
          <w:bCs/>
          <w:color w:val="auto"/>
          <w:lang w:val="es-ES" w:eastAsia="es-ES"/>
        </w:rPr>
        <w:t>Hechos</w:t>
      </w:r>
      <w:bookmarkEnd w:id="5"/>
    </w:p>
    <w:p w:rsidR="0092797C" w:rsidRPr="00862128" w:rsidRDefault="00862128" w:rsidP="00BE5143">
      <w:pPr>
        <w:jc w:val="both"/>
        <w:rPr>
          <w:rFonts w:ascii="Times New Roman" w:eastAsia="Calibri" w:hAnsi="Times New Roman"/>
          <w:sz w:val="28"/>
          <w:szCs w:val="28"/>
          <w:lang w:val="es-ES" w:eastAsia="es-ES"/>
        </w:rPr>
      </w:pPr>
    </w:p>
    <w:p w:rsidR="0089303F" w:rsidRPr="00862128" w:rsidRDefault="00862128" w:rsidP="00BE5143">
      <w:pPr>
        <w:pStyle w:val="Prrafonumerado"/>
        <w:tabs>
          <w:tab w:val="clear" w:pos="426"/>
          <w:tab w:val="left" w:pos="567"/>
        </w:tabs>
      </w:pPr>
      <w:r w:rsidRPr="00862128">
        <w:t xml:space="preserve">El 29 de abril de 2025, </w:t>
      </w:r>
      <w:r w:rsidRPr="00862128">
        <w:t xml:space="preserve">en ejercicio de la acción pública prevista en los artículos 40, numeral 6, y 241, numeral 4, de la Constitución Política, </w:t>
      </w:r>
      <w:r w:rsidRPr="00862128">
        <w:t>el ciudadano Juan Carlos Esguerra Portocarrero</w:t>
      </w:r>
      <w:r w:rsidRPr="00862128">
        <w:t xml:space="preserve"> </w:t>
      </w:r>
      <w:r w:rsidRPr="00862128">
        <w:t xml:space="preserve">presentó demanda </w:t>
      </w:r>
      <w:r w:rsidRPr="00862128">
        <w:t xml:space="preserve">de inconstitucionalidad </w:t>
      </w:r>
      <w:r w:rsidRPr="00862128">
        <w:t>“contra el artículo 45</w:t>
      </w:r>
      <w:r w:rsidRPr="00862128">
        <w:t xml:space="preserve"> de la Ley 1480 de 2011, modificado por el artículo 7 de la Ley 2439 de 2024, […] el cual adicionó un parágrafo tercero al mencionado artículo 45 de la Ley 1480 de 2011”</w:t>
      </w:r>
      <w:r w:rsidRPr="00862128">
        <w:rPr>
          <w:rStyle w:val="Refdenotaalpie"/>
        </w:rPr>
        <w:footnoteReference w:id="1"/>
      </w:r>
      <w:r w:rsidRPr="00862128">
        <w:t xml:space="preserve">. </w:t>
      </w:r>
    </w:p>
    <w:p w:rsidR="0089303F" w:rsidRPr="00862128" w:rsidRDefault="00862128" w:rsidP="00BE5143">
      <w:pPr>
        <w:pStyle w:val="Prrafonumerado"/>
        <w:numPr>
          <w:ilvl w:val="0"/>
          <w:numId w:val="0"/>
        </w:numPr>
        <w:tabs>
          <w:tab w:val="clear" w:pos="426"/>
          <w:tab w:val="left" w:pos="567"/>
        </w:tabs>
      </w:pPr>
    </w:p>
    <w:p w:rsidR="005C6207" w:rsidRPr="00862128" w:rsidRDefault="00862128" w:rsidP="00BE5143">
      <w:pPr>
        <w:pStyle w:val="Prrafonumerado"/>
        <w:tabs>
          <w:tab w:val="clear" w:pos="426"/>
          <w:tab w:val="left" w:pos="567"/>
        </w:tabs>
      </w:pPr>
      <w:r w:rsidRPr="00862128">
        <w:t xml:space="preserve">El </w:t>
      </w:r>
      <w:r w:rsidRPr="00862128">
        <w:t>1</w:t>
      </w:r>
      <w:r w:rsidRPr="00862128">
        <w:t>9</w:t>
      </w:r>
      <w:r w:rsidRPr="00862128">
        <w:t xml:space="preserve"> de mayo </w:t>
      </w:r>
      <w:r w:rsidRPr="00862128">
        <w:t xml:space="preserve">de 2025, la Secretaría General de la </w:t>
      </w:r>
      <w:r w:rsidRPr="00862128">
        <w:t>C</w:t>
      </w:r>
      <w:r w:rsidRPr="00862128">
        <w:t>orporación, previo sorteo real</w:t>
      </w:r>
      <w:r w:rsidRPr="00862128">
        <w:t xml:space="preserve">izado por la Sala Plena </w:t>
      </w:r>
      <w:r w:rsidRPr="00862128">
        <w:t>el 15 de mayo</w:t>
      </w:r>
      <w:r w:rsidRPr="00862128">
        <w:t xml:space="preserve"> anterior</w:t>
      </w:r>
      <w:r w:rsidRPr="00862128">
        <w:t xml:space="preserve">, remitió el expediente al despacho de la magistrada </w:t>
      </w:r>
      <w:r w:rsidRPr="00862128">
        <w:t>Diana Fajardo Rivera</w:t>
      </w:r>
      <w:r w:rsidRPr="00862128">
        <w:t xml:space="preserve"> para impartir el trámite correspondiente.</w:t>
      </w:r>
    </w:p>
    <w:p w:rsidR="0089303F" w:rsidRPr="00862128" w:rsidRDefault="00862128" w:rsidP="00BE5143">
      <w:pPr>
        <w:pStyle w:val="Prrafonumerado"/>
        <w:numPr>
          <w:ilvl w:val="0"/>
          <w:numId w:val="0"/>
        </w:numPr>
        <w:tabs>
          <w:tab w:val="clear" w:pos="426"/>
          <w:tab w:val="left" w:pos="567"/>
        </w:tabs>
      </w:pPr>
    </w:p>
    <w:p w:rsidR="00A02C88" w:rsidRPr="00862128" w:rsidRDefault="00862128" w:rsidP="00BE5143">
      <w:pPr>
        <w:pStyle w:val="Prrafonumerado"/>
        <w:tabs>
          <w:tab w:val="clear" w:pos="426"/>
          <w:tab w:val="left" w:pos="567"/>
        </w:tabs>
      </w:pPr>
      <w:r w:rsidRPr="00862128">
        <w:t xml:space="preserve">La demanda fue inadmitida </w:t>
      </w:r>
      <w:r w:rsidRPr="00862128">
        <w:t xml:space="preserve">mediante </w:t>
      </w:r>
      <w:r w:rsidRPr="00862128">
        <w:t>A</w:t>
      </w:r>
      <w:r w:rsidRPr="00862128">
        <w:t>uto de</w:t>
      </w:r>
      <w:r w:rsidRPr="00862128">
        <w:t xml:space="preserve">l </w:t>
      </w:r>
      <w:r w:rsidRPr="00862128">
        <w:t xml:space="preserve">3 de junio de </w:t>
      </w:r>
      <w:r w:rsidRPr="00862128">
        <w:t>2025</w:t>
      </w:r>
      <w:r w:rsidRPr="00862128">
        <w:rPr>
          <w:rStyle w:val="Refdenotaalpie"/>
        </w:rPr>
        <w:footnoteReference w:id="2"/>
      </w:r>
      <w:r w:rsidRPr="00862128">
        <w:t xml:space="preserve">, por no superar los </w:t>
      </w:r>
      <w:r w:rsidRPr="00862128">
        <w:t>requisitos de claridad, especificidad y suficiencia</w:t>
      </w:r>
      <w:r w:rsidRPr="00862128">
        <w:t xml:space="preserve">. Posteriormente, dentro del término previsto para ello, el </w:t>
      </w:r>
      <w:r w:rsidRPr="00862128">
        <w:t>demandante</w:t>
      </w:r>
      <w:r w:rsidRPr="00862128">
        <w:t xml:space="preserve"> presentó un escrito de subsanación de la demanda, que fue admitido por la magistrada sustanciadora </w:t>
      </w:r>
      <w:r w:rsidRPr="00862128">
        <w:t>mediante</w:t>
      </w:r>
      <w:r w:rsidRPr="00862128">
        <w:t xml:space="preserve"> </w:t>
      </w:r>
      <w:r w:rsidRPr="00862128">
        <w:t>A</w:t>
      </w:r>
      <w:r w:rsidRPr="00862128">
        <w:t xml:space="preserve">uto del </w:t>
      </w:r>
      <w:r w:rsidRPr="00862128">
        <w:t>24 de junio</w:t>
      </w:r>
      <w:r w:rsidRPr="00862128">
        <w:t xml:space="preserve"> de 20</w:t>
      </w:r>
      <w:r w:rsidRPr="00862128">
        <w:t>25</w:t>
      </w:r>
      <w:r w:rsidRPr="00862128">
        <w:rPr>
          <w:rStyle w:val="Refdenotaalpie"/>
        </w:rPr>
        <w:footnoteReference w:id="3"/>
      </w:r>
      <w:r w:rsidRPr="00862128">
        <w:t xml:space="preserve">. En dicha providencia, además, </w:t>
      </w:r>
      <w:r w:rsidRPr="00862128">
        <w:t xml:space="preserve">se </w:t>
      </w:r>
      <w:r w:rsidRPr="00862128">
        <w:t xml:space="preserve">dispuso correr traslado a la Procuraduría General de la Nación, fijar en lista la disposición acusada por el término de </w:t>
      </w:r>
      <w:r w:rsidRPr="00862128">
        <w:t>diez (</w:t>
      </w:r>
      <w:r w:rsidRPr="00862128">
        <w:t>10</w:t>
      </w:r>
      <w:r w:rsidRPr="00862128">
        <w:t>)</w:t>
      </w:r>
      <w:r w:rsidRPr="00862128">
        <w:t xml:space="preserve"> días, comunicar la apertura del proceso al presidente de la República, al presidente del</w:t>
      </w:r>
      <w:r w:rsidRPr="00862128">
        <w:t xml:space="preserve"> Congreso, así como a</w:t>
      </w:r>
      <w:r w:rsidRPr="00862128">
        <w:t>l</w:t>
      </w:r>
      <w:r w:rsidRPr="00862128">
        <w:t xml:space="preserve"> </w:t>
      </w:r>
      <w:r w:rsidRPr="00862128">
        <w:t>M</w:t>
      </w:r>
      <w:r w:rsidRPr="00862128">
        <w:t>inist</w:t>
      </w:r>
      <w:r w:rsidRPr="00862128">
        <w:t>erio</w:t>
      </w:r>
      <w:r w:rsidRPr="00862128">
        <w:t xml:space="preserve"> de Comercio</w:t>
      </w:r>
      <w:r w:rsidRPr="00862128">
        <w:t>,</w:t>
      </w:r>
      <w:r w:rsidRPr="00862128">
        <w:t xml:space="preserve"> Industria y Turismo y a la Superintenden</w:t>
      </w:r>
      <w:r w:rsidRPr="00862128">
        <w:t>cia</w:t>
      </w:r>
      <w:r w:rsidRPr="00862128">
        <w:t xml:space="preserve"> de Industria y Comercio</w:t>
      </w:r>
      <w:r w:rsidRPr="00862128">
        <w:t>,</w:t>
      </w:r>
      <w:r w:rsidRPr="00862128">
        <w:t xml:space="preserve"> e invitar a intervenir a instituciones y organizaciones sociales.</w:t>
      </w:r>
    </w:p>
    <w:p w:rsidR="00A02C88" w:rsidRPr="00862128" w:rsidRDefault="00862128" w:rsidP="00BE5143">
      <w:pPr>
        <w:pStyle w:val="Prrafodelista"/>
        <w:tabs>
          <w:tab w:val="left" w:pos="567"/>
        </w:tabs>
        <w:autoSpaceDE w:val="0"/>
        <w:autoSpaceDN w:val="0"/>
        <w:ind w:left="0"/>
        <w:jc w:val="both"/>
        <w:textAlignment w:val="baseline"/>
        <w:rPr>
          <w:rFonts w:ascii="Times New Roman" w:hAnsi="Times New Roman"/>
          <w:sz w:val="28"/>
          <w:szCs w:val="28"/>
          <w:bdr w:val="none" w:sz="0" w:space="0" w:color="auto" w:frame="1"/>
          <w:lang w:eastAsia="es-ES"/>
        </w:rPr>
      </w:pPr>
    </w:p>
    <w:p w:rsidR="00A02C88" w:rsidRPr="00862128" w:rsidRDefault="00862128" w:rsidP="00BE5143">
      <w:pPr>
        <w:pStyle w:val="Prrafonumerado"/>
        <w:tabs>
          <w:tab w:val="clear" w:pos="426"/>
          <w:tab w:val="left" w:pos="567"/>
        </w:tabs>
        <w:rPr>
          <w:bdr w:val="none" w:sz="0" w:space="0" w:color="auto" w:frame="1"/>
          <w:lang w:eastAsia="es-ES"/>
        </w:rPr>
      </w:pPr>
      <w:r w:rsidRPr="00862128">
        <w:t>En cumplimiento del auto admisorio, la Secretaría General de la Corte Con</w:t>
      </w:r>
      <w:r w:rsidRPr="00862128">
        <w:t xml:space="preserve">stitucional fijó en lista el proceso en la página web de la </w:t>
      </w:r>
      <w:r w:rsidRPr="00862128">
        <w:t>C</w:t>
      </w:r>
      <w:r w:rsidRPr="00862128">
        <w:t xml:space="preserve">orporación a partir de las 8:00 a. m. del </w:t>
      </w:r>
      <w:r w:rsidRPr="00862128">
        <w:t xml:space="preserve">7 de julio </w:t>
      </w:r>
      <w:r w:rsidRPr="00862128">
        <w:t>de 2025, por el término de 10 días</w:t>
      </w:r>
      <w:r w:rsidRPr="00862128">
        <w:rPr>
          <w:rStyle w:val="Refdenotaalpie"/>
        </w:rPr>
        <w:footnoteReference w:id="4"/>
      </w:r>
      <w:r w:rsidRPr="00862128">
        <w:t>.</w:t>
      </w:r>
    </w:p>
    <w:p w:rsidR="00A02C88" w:rsidRPr="00862128" w:rsidRDefault="00862128" w:rsidP="00BE5143">
      <w:pPr>
        <w:pStyle w:val="Prrafodelista"/>
        <w:tabs>
          <w:tab w:val="left" w:pos="567"/>
        </w:tabs>
        <w:ind w:left="0"/>
        <w:contextualSpacing w:val="0"/>
        <w:jc w:val="both"/>
        <w:rPr>
          <w:rFonts w:ascii="Times New Roman" w:hAnsi="Times New Roman"/>
          <w:sz w:val="28"/>
          <w:szCs w:val="28"/>
          <w:lang w:val="es-ES"/>
        </w:rPr>
      </w:pPr>
    </w:p>
    <w:p w:rsidR="00A02C88" w:rsidRPr="00862128" w:rsidRDefault="00862128" w:rsidP="00BE5143">
      <w:pPr>
        <w:pStyle w:val="Prrafonumerado"/>
        <w:tabs>
          <w:tab w:val="clear" w:pos="426"/>
          <w:tab w:val="left" w:pos="567"/>
        </w:tabs>
      </w:pPr>
      <w:r w:rsidRPr="00862128">
        <w:t>El 1</w:t>
      </w:r>
      <w:r w:rsidRPr="00862128">
        <w:t>9 de agosto d</w:t>
      </w:r>
      <w:r w:rsidRPr="00862128">
        <w:t>e 2025, el procurador general de la Nación presentó su concepto</w:t>
      </w:r>
      <w:r w:rsidRPr="00862128">
        <w:t xml:space="preserve"> </w:t>
      </w:r>
      <w:r w:rsidRPr="00862128">
        <w:t>y</w:t>
      </w:r>
      <w:r w:rsidRPr="00862128">
        <w:t>,</w:t>
      </w:r>
      <w:r w:rsidRPr="00862128">
        <w:t xml:space="preserve"> la Secretaría General de la Corte remitió el expediente digital al despacho de la magistrada sustanciadora e informó sobre los términos.</w:t>
      </w:r>
    </w:p>
    <w:p w:rsidR="00A02C88" w:rsidRPr="00862128" w:rsidRDefault="00862128" w:rsidP="00BE5143">
      <w:pPr>
        <w:pStyle w:val="Prrafodelista"/>
        <w:tabs>
          <w:tab w:val="left" w:pos="567"/>
        </w:tabs>
        <w:autoSpaceDE w:val="0"/>
        <w:autoSpaceDN w:val="0"/>
        <w:ind w:left="0"/>
        <w:jc w:val="both"/>
        <w:textAlignment w:val="baseline"/>
        <w:rPr>
          <w:rFonts w:ascii="Times New Roman" w:hAnsi="Times New Roman"/>
          <w:sz w:val="28"/>
          <w:szCs w:val="28"/>
          <w:bdr w:val="none" w:sz="0" w:space="0" w:color="auto" w:frame="1"/>
          <w:lang w:eastAsia="es-ES"/>
        </w:rPr>
      </w:pPr>
    </w:p>
    <w:p w:rsidR="0055110E" w:rsidRPr="00862128" w:rsidRDefault="00862128" w:rsidP="00BE5143">
      <w:pPr>
        <w:pStyle w:val="Prrafonumerado"/>
        <w:tabs>
          <w:tab w:val="clear" w:pos="426"/>
          <w:tab w:val="left" w:pos="567"/>
        </w:tabs>
      </w:pPr>
      <w:bookmarkStart w:id="6" w:name="_Hlk199928463"/>
      <w:r w:rsidRPr="00862128">
        <w:t xml:space="preserve">La magistrada Diana Fajardo Rivera terminó su período constitucional el 5 de junio de 2025. </w:t>
      </w:r>
      <w:bookmarkEnd w:id="6"/>
      <w:r w:rsidRPr="00862128">
        <w:t>El 12 del mismo mes y año</w:t>
      </w:r>
      <w:r w:rsidRPr="00862128">
        <w:t xml:space="preserve">, la doctora Lina Marcela Escobar Martínez se posesionó </w:t>
      </w:r>
      <w:r w:rsidRPr="00862128">
        <w:t>como magistrada de la Corte Constitucional</w:t>
      </w:r>
      <w:r w:rsidRPr="00862128">
        <w:t>, en reemplazo de la doctora Fajardo Rivera. En consecuencia, a partir de ese día, la sustanciación de los expedientes del despacho, incluido el presente asun</w:t>
      </w:r>
      <w:r w:rsidRPr="00862128">
        <w:t xml:space="preserve">to, quedó a cargo de la magistrada Escobar Martínez. </w:t>
      </w:r>
    </w:p>
    <w:p w:rsidR="0055110E" w:rsidRPr="00862128" w:rsidRDefault="00862128" w:rsidP="00BE5143">
      <w:pPr>
        <w:pStyle w:val="Prrafodelista"/>
        <w:tabs>
          <w:tab w:val="left" w:pos="567"/>
        </w:tabs>
        <w:rPr>
          <w:rFonts w:ascii="Times New Roman" w:hAnsi="Times New Roman"/>
          <w:sz w:val="28"/>
          <w:szCs w:val="28"/>
          <w:bdr w:val="none" w:sz="0" w:space="0" w:color="auto" w:frame="1"/>
          <w:lang w:eastAsia="es-ES"/>
        </w:rPr>
      </w:pPr>
    </w:p>
    <w:p w:rsidR="0055110E" w:rsidRPr="00862128" w:rsidRDefault="00862128" w:rsidP="00BE5143">
      <w:pPr>
        <w:pStyle w:val="Prrafonumerado"/>
        <w:tabs>
          <w:tab w:val="clear" w:pos="426"/>
          <w:tab w:val="left" w:pos="567"/>
        </w:tabs>
      </w:pPr>
      <w:r w:rsidRPr="00862128">
        <w:rPr>
          <w:bdr w:val="none" w:sz="0" w:space="0" w:color="auto" w:frame="1"/>
          <w:lang w:eastAsia="es-ES"/>
        </w:rPr>
        <w:t xml:space="preserve">Cumplidos los trámites previstos en el artículo 242 de la Constitución y en el Decreto Ley 2067 de 1991, </w:t>
      </w:r>
      <w:r w:rsidRPr="00862128">
        <w:t xml:space="preserve">procede la Corte a decidir sobre la demanda de la referencia. </w:t>
      </w:r>
    </w:p>
    <w:p w:rsidR="00F56457" w:rsidRPr="00862128" w:rsidRDefault="00862128" w:rsidP="00BE5143">
      <w:pPr>
        <w:tabs>
          <w:tab w:val="left" w:pos="426"/>
          <w:tab w:val="left" w:pos="567"/>
        </w:tabs>
        <w:autoSpaceDE w:val="0"/>
        <w:autoSpaceDN w:val="0"/>
        <w:jc w:val="both"/>
        <w:textAlignment w:val="baseline"/>
        <w:rPr>
          <w:rFonts w:ascii="Times New Roman" w:hAnsi="Times New Roman"/>
          <w:sz w:val="28"/>
          <w:szCs w:val="28"/>
        </w:rPr>
      </w:pPr>
      <w:bookmarkStart w:id="7" w:name="_Toc209003441"/>
    </w:p>
    <w:p w:rsidR="0092797C" w:rsidRPr="00862128" w:rsidRDefault="00862128" w:rsidP="00BE5143">
      <w:pPr>
        <w:pStyle w:val="Ttulo3"/>
        <w:spacing w:before="0" w:after="0"/>
        <w:rPr>
          <w:rFonts w:ascii="Times New Roman" w:hAnsi="Times New Roman"/>
          <w:b/>
          <w:bCs/>
          <w:color w:val="auto"/>
        </w:rPr>
      </w:pPr>
      <w:bookmarkStart w:id="8" w:name="_Toc223713273"/>
      <w:r w:rsidRPr="00862128">
        <w:rPr>
          <w:rFonts w:ascii="Times New Roman" w:hAnsi="Times New Roman"/>
          <w:b/>
          <w:bCs/>
          <w:color w:val="auto"/>
        </w:rPr>
        <w:t xml:space="preserve">2. </w:t>
      </w:r>
      <w:r w:rsidRPr="00862128">
        <w:rPr>
          <w:rFonts w:ascii="Times New Roman" w:hAnsi="Times New Roman"/>
          <w:b/>
          <w:bCs/>
          <w:color w:val="auto"/>
        </w:rPr>
        <w:t>N</w:t>
      </w:r>
      <w:r w:rsidRPr="00862128">
        <w:rPr>
          <w:rFonts w:ascii="Times New Roman" w:hAnsi="Times New Roman"/>
          <w:b/>
          <w:bCs/>
          <w:color w:val="auto"/>
        </w:rPr>
        <w:t>orma demandada</w:t>
      </w:r>
      <w:bookmarkEnd w:id="8"/>
    </w:p>
    <w:p w:rsidR="0092797C" w:rsidRPr="00862128" w:rsidRDefault="00862128" w:rsidP="00BE5143">
      <w:pPr>
        <w:tabs>
          <w:tab w:val="left" w:pos="426"/>
          <w:tab w:val="left" w:pos="567"/>
        </w:tabs>
        <w:autoSpaceDE w:val="0"/>
        <w:autoSpaceDN w:val="0"/>
        <w:jc w:val="both"/>
        <w:textAlignment w:val="baseline"/>
        <w:rPr>
          <w:rFonts w:ascii="Times New Roman" w:hAnsi="Times New Roman"/>
          <w:sz w:val="28"/>
          <w:szCs w:val="28"/>
        </w:rPr>
      </w:pPr>
    </w:p>
    <w:p w:rsidR="00AF303D" w:rsidRPr="00862128" w:rsidRDefault="00862128" w:rsidP="00BE5143">
      <w:pPr>
        <w:pStyle w:val="Prrafodelista"/>
        <w:numPr>
          <w:ilvl w:val="0"/>
          <w:numId w:val="4"/>
        </w:numPr>
        <w:tabs>
          <w:tab w:val="left" w:pos="567"/>
          <w:tab w:val="left" w:pos="709"/>
        </w:tabs>
        <w:autoSpaceDE w:val="0"/>
        <w:autoSpaceDN w:val="0"/>
        <w:ind w:left="0" w:firstLine="0"/>
        <w:jc w:val="both"/>
        <w:textAlignment w:val="baseline"/>
        <w:rPr>
          <w:rFonts w:ascii="Times New Roman" w:hAnsi="Times New Roman"/>
          <w:sz w:val="28"/>
          <w:szCs w:val="28"/>
        </w:rPr>
      </w:pPr>
      <w:r w:rsidRPr="00862128">
        <w:rPr>
          <w:rFonts w:ascii="Times New Roman" w:hAnsi="Times New Roman"/>
          <w:sz w:val="28"/>
          <w:szCs w:val="28"/>
        </w:rPr>
        <w:t xml:space="preserve">A continuación, se transcribe </w:t>
      </w:r>
      <w:r w:rsidRPr="00862128">
        <w:rPr>
          <w:rFonts w:ascii="Times New Roman" w:hAnsi="Times New Roman"/>
          <w:sz w:val="28"/>
          <w:szCs w:val="28"/>
        </w:rPr>
        <w:t xml:space="preserve">y </w:t>
      </w:r>
      <w:r w:rsidRPr="00862128">
        <w:rPr>
          <w:rFonts w:ascii="Times New Roman" w:hAnsi="Times New Roman"/>
          <w:sz w:val="28"/>
          <w:szCs w:val="28"/>
        </w:rPr>
        <w:t xml:space="preserve">subraya </w:t>
      </w:r>
      <w:r w:rsidRPr="00862128">
        <w:rPr>
          <w:rFonts w:ascii="Times New Roman" w:hAnsi="Times New Roman"/>
          <w:sz w:val="28"/>
          <w:szCs w:val="28"/>
        </w:rPr>
        <w:t>el texto de la norma demandada</w:t>
      </w:r>
      <w:r w:rsidRPr="00862128">
        <w:rPr>
          <w:rFonts w:ascii="Times New Roman" w:hAnsi="Times New Roman"/>
          <w:sz w:val="28"/>
          <w:szCs w:val="28"/>
        </w:rPr>
        <w:t xml:space="preserve"> (expresión “firma electrónica” del parágrafo 3 del artículo 45 de la Ley 1480 de 2011</w:t>
      </w:r>
      <w:r w:rsidRPr="00862128">
        <w:rPr>
          <w:rFonts w:ascii="Times New Roman" w:hAnsi="Times New Roman"/>
          <w:sz w:val="28"/>
          <w:szCs w:val="28"/>
        </w:rPr>
        <w:t>, el cual fue adicionado por el artículo 7 de la Ley 2439 de 2024</w:t>
      </w:r>
      <w:r w:rsidRPr="00862128">
        <w:rPr>
          <w:rStyle w:val="Refdenotaalpie"/>
          <w:rFonts w:ascii="Times New Roman" w:hAnsi="Times New Roman"/>
          <w:sz w:val="28"/>
          <w:szCs w:val="28"/>
        </w:rPr>
        <w:footnoteReference w:id="5"/>
      </w:r>
      <w:r w:rsidRPr="00862128">
        <w:rPr>
          <w:rFonts w:ascii="Times New Roman" w:hAnsi="Times New Roman"/>
          <w:sz w:val="28"/>
          <w:szCs w:val="28"/>
        </w:rPr>
        <w:t>)</w:t>
      </w:r>
      <w:r w:rsidRPr="00862128">
        <w:rPr>
          <w:rFonts w:ascii="Times New Roman" w:hAnsi="Times New Roman"/>
          <w:sz w:val="28"/>
          <w:szCs w:val="28"/>
        </w:rPr>
        <w:t xml:space="preserve">: </w:t>
      </w:r>
    </w:p>
    <w:p w:rsidR="00A17D47" w:rsidRPr="00862128" w:rsidRDefault="00862128" w:rsidP="00BE5143">
      <w:pPr>
        <w:pStyle w:val="Prrafodelista"/>
        <w:tabs>
          <w:tab w:val="left" w:pos="426"/>
          <w:tab w:val="left" w:pos="567"/>
          <w:tab w:val="left" w:pos="709"/>
        </w:tabs>
        <w:autoSpaceDE w:val="0"/>
        <w:autoSpaceDN w:val="0"/>
        <w:ind w:left="0"/>
        <w:jc w:val="both"/>
        <w:textAlignment w:val="baseline"/>
        <w:rPr>
          <w:rFonts w:ascii="Times New Roman" w:hAnsi="Times New Roman"/>
          <w:sz w:val="28"/>
          <w:szCs w:val="28"/>
        </w:rPr>
      </w:pPr>
    </w:p>
    <w:p w:rsidR="00DA2A21" w:rsidRPr="00862128" w:rsidRDefault="00862128" w:rsidP="00BE5143">
      <w:pPr>
        <w:pStyle w:val="centrado"/>
        <w:spacing w:before="0" w:beforeAutospacing="0" w:after="0" w:afterAutospacing="0"/>
        <w:ind w:left="567" w:right="618"/>
        <w:jc w:val="center"/>
        <w:rPr>
          <w:sz w:val="28"/>
          <w:szCs w:val="26"/>
        </w:rPr>
      </w:pPr>
      <w:r w:rsidRPr="00862128">
        <w:rPr>
          <w:rStyle w:val="baj"/>
          <w:b/>
          <w:bCs/>
          <w:sz w:val="28"/>
          <w:szCs w:val="26"/>
        </w:rPr>
        <w:t>LEY 1480 DE 2011</w:t>
      </w:r>
    </w:p>
    <w:p w:rsidR="00DA2A21" w:rsidRPr="00862128" w:rsidRDefault="00862128" w:rsidP="00BE5143">
      <w:pPr>
        <w:pStyle w:val="centrado"/>
        <w:spacing w:before="0" w:beforeAutospacing="0" w:after="0" w:afterAutospacing="0"/>
        <w:ind w:left="567" w:right="618"/>
        <w:jc w:val="center"/>
        <w:rPr>
          <w:sz w:val="28"/>
          <w:szCs w:val="26"/>
        </w:rPr>
      </w:pPr>
      <w:r w:rsidRPr="00862128">
        <w:rPr>
          <w:sz w:val="28"/>
          <w:szCs w:val="26"/>
        </w:rPr>
        <w:t>(octubre 12)</w:t>
      </w:r>
    </w:p>
    <w:p w:rsidR="00DA2A21" w:rsidRPr="00862128" w:rsidRDefault="00862128" w:rsidP="00BE5143">
      <w:pPr>
        <w:pStyle w:val="centrado"/>
        <w:spacing w:before="0" w:beforeAutospacing="0" w:after="0" w:afterAutospacing="0"/>
        <w:ind w:left="567" w:right="618"/>
        <w:jc w:val="center"/>
        <w:rPr>
          <w:sz w:val="28"/>
          <w:szCs w:val="26"/>
        </w:rPr>
      </w:pPr>
      <w:r w:rsidRPr="00862128">
        <w:rPr>
          <w:sz w:val="28"/>
          <w:szCs w:val="26"/>
        </w:rPr>
        <w:t>Diario Oficial No. 48.220 de 12 de octubre de 2011</w:t>
      </w:r>
    </w:p>
    <w:p w:rsidR="00DA2A21" w:rsidRPr="00862128" w:rsidRDefault="00862128" w:rsidP="00BE5143">
      <w:pPr>
        <w:pStyle w:val="centrado"/>
        <w:spacing w:before="0" w:beforeAutospacing="0" w:after="0" w:afterAutospacing="0"/>
        <w:ind w:left="567" w:right="618"/>
        <w:jc w:val="center"/>
        <w:rPr>
          <w:sz w:val="28"/>
          <w:szCs w:val="26"/>
        </w:rPr>
      </w:pPr>
    </w:p>
    <w:p w:rsidR="00DA2A21" w:rsidRPr="00862128" w:rsidRDefault="00862128" w:rsidP="00BE5143">
      <w:pPr>
        <w:jc w:val="center"/>
        <w:rPr>
          <w:rFonts w:ascii="Times New Roman" w:hAnsi="Times New Roman"/>
          <w:sz w:val="28"/>
          <w:szCs w:val="26"/>
        </w:rPr>
      </w:pPr>
      <w:r w:rsidRPr="00862128">
        <w:rPr>
          <w:rFonts w:ascii="Times New Roman" w:hAnsi="Times New Roman"/>
          <w:sz w:val="28"/>
          <w:szCs w:val="26"/>
        </w:rPr>
        <w:t>El Congreso de Colombia,</w:t>
      </w:r>
    </w:p>
    <w:p w:rsidR="00DA2A21" w:rsidRPr="00862128" w:rsidRDefault="00862128" w:rsidP="00BE5143">
      <w:pPr>
        <w:jc w:val="center"/>
        <w:rPr>
          <w:rFonts w:ascii="Times New Roman" w:hAnsi="Times New Roman"/>
          <w:sz w:val="28"/>
          <w:szCs w:val="26"/>
        </w:rPr>
      </w:pPr>
    </w:p>
    <w:p w:rsidR="00DA2A21" w:rsidRPr="00862128" w:rsidRDefault="00862128" w:rsidP="00BE5143">
      <w:pPr>
        <w:jc w:val="center"/>
        <w:rPr>
          <w:rFonts w:ascii="Times New Roman" w:hAnsi="Times New Roman"/>
          <w:sz w:val="28"/>
          <w:szCs w:val="26"/>
        </w:rPr>
      </w:pPr>
      <w:r w:rsidRPr="00862128">
        <w:rPr>
          <w:rFonts w:ascii="Times New Roman" w:hAnsi="Times New Roman"/>
          <w:sz w:val="28"/>
          <w:szCs w:val="26"/>
        </w:rPr>
        <w:t>DECRETA:</w:t>
      </w:r>
    </w:p>
    <w:p w:rsidR="00DA2A21" w:rsidRPr="00862128" w:rsidRDefault="00862128" w:rsidP="00BE5143">
      <w:pPr>
        <w:jc w:val="center"/>
        <w:rPr>
          <w:rFonts w:ascii="Times New Roman" w:hAnsi="Times New Roman"/>
          <w:sz w:val="28"/>
          <w:szCs w:val="26"/>
        </w:rPr>
      </w:pPr>
    </w:p>
    <w:p w:rsidR="00DA2A21" w:rsidRPr="00862128" w:rsidRDefault="00862128" w:rsidP="00BE5143">
      <w:pPr>
        <w:jc w:val="center"/>
        <w:rPr>
          <w:rFonts w:ascii="Times New Roman" w:hAnsi="Times New Roman"/>
          <w:sz w:val="28"/>
          <w:szCs w:val="26"/>
        </w:rPr>
      </w:pPr>
      <w:r w:rsidRPr="00862128">
        <w:rPr>
          <w:rFonts w:ascii="Times New Roman" w:hAnsi="Times New Roman"/>
          <w:sz w:val="28"/>
          <w:szCs w:val="26"/>
        </w:rPr>
        <w:t>Por medio de la cual se expide el Estatuto del Consumidor y se dictan otras disposiciones.</w:t>
      </w:r>
    </w:p>
    <w:p w:rsidR="00C74DB0" w:rsidRPr="00862128" w:rsidRDefault="00862128" w:rsidP="00BE5143">
      <w:pPr>
        <w:autoSpaceDE w:val="0"/>
        <w:autoSpaceDN w:val="0"/>
        <w:jc w:val="center"/>
        <w:rPr>
          <w:rFonts w:ascii="Times New Roman" w:hAnsi="Times New Roman"/>
          <w:sz w:val="28"/>
          <w:szCs w:val="26"/>
          <w:lang w:eastAsia="es-ES"/>
        </w:rPr>
      </w:pPr>
    </w:p>
    <w:p w:rsidR="00DA2A21" w:rsidRPr="00862128" w:rsidRDefault="00862128" w:rsidP="00BE5143">
      <w:pPr>
        <w:autoSpaceDE w:val="0"/>
        <w:autoSpaceDN w:val="0"/>
        <w:jc w:val="center"/>
        <w:rPr>
          <w:rFonts w:ascii="Times New Roman" w:hAnsi="Times New Roman"/>
          <w:sz w:val="28"/>
          <w:szCs w:val="26"/>
          <w:lang w:eastAsia="es-ES"/>
        </w:rPr>
      </w:pPr>
      <w:r w:rsidRPr="00862128">
        <w:rPr>
          <w:rFonts w:ascii="Times New Roman" w:hAnsi="Times New Roman"/>
          <w:sz w:val="28"/>
          <w:szCs w:val="26"/>
          <w:lang w:eastAsia="es-ES"/>
        </w:rPr>
        <w:t>[…]</w:t>
      </w:r>
    </w:p>
    <w:p w:rsidR="00DA2A21" w:rsidRPr="00862128" w:rsidRDefault="00862128" w:rsidP="00BE5143">
      <w:pPr>
        <w:rPr>
          <w:rFonts w:ascii="Times New Roman" w:hAnsi="Times New Roman"/>
          <w:sz w:val="28"/>
          <w:szCs w:val="26"/>
        </w:rPr>
      </w:pPr>
    </w:p>
    <w:p w:rsidR="00DA2A21" w:rsidRPr="00862128" w:rsidRDefault="00862128" w:rsidP="00BE5143">
      <w:pPr>
        <w:jc w:val="center"/>
        <w:rPr>
          <w:rFonts w:ascii="Times New Roman" w:hAnsi="Times New Roman"/>
          <w:sz w:val="28"/>
          <w:szCs w:val="26"/>
        </w:rPr>
      </w:pPr>
      <w:bookmarkStart w:id="9" w:name="CAPÍTULO_IV-VII"/>
      <w:r w:rsidRPr="00862128">
        <w:rPr>
          <w:rFonts w:ascii="Times New Roman" w:hAnsi="Times New Roman"/>
          <w:sz w:val="28"/>
          <w:szCs w:val="26"/>
        </w:rPr>
        <w:t>CAPÍTULO IV</w:t>
      </w:r>
      <w:bookmarkEnd w:id="9"/>
    </w:p>
    <w:p w:rsidR="00DA2A21" w:rsidRPr="00862128" w:rsidRDefault="00862128" w:rsidP="00BE5143">
      <w:pPr>
        <w:ind w:left="567" w:right="618"/>
        <w:jc w:val="center"/>
        <w:rPr>
          <w:rFonts w:ascii="Times New Roman" w:hAnsi="Times New Roman"/>
          <w:sz w:val="28"/>
          <w:szCs w:val="26"/>
        </w:rPr>
      </w:pPr>
      <w:r w:rsidRPr="00862128">
        <w:rPr>
          <w:rFonts w:ascii="Times New Roman" w:hAnsi="Times New Roman"/>
          <w:sz w:val="28"/>
          <w:szCs w:val="26"/>
        </w:rPr>
        <w:t>DE LAS OPERACIONES MEDIANTE SISTEMAS DE FINANCIACIÓN</w:t>
      </w:r>
    </w:p>
    <w:p w:rsidR="00DA2A21" w:rsidRPr="00862128" w:rsidRDefault="00862128" w:rsidP="00BE5143">
      <w:pPr>
        <w:ind w:left="567" w:right="618"/>
        <w:jc w:val="both"/>
        <w:rPr>
          <w:rFonts w:ascii="Times New Roman" w:hAnsi="Times New Roman"/>
          <w:sz w:val="28"/>
          <w:szCs w:val="26"/>
        </w:rPr>
      </w:pPr>
      <w:hyperlink r:id="rId8" w:anchor="top" w:tooltip="Ir al inicio" w:history="1"/>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b/>
          <w:bCs/>
          <w:sz w:val="28"/>
          <w:szCs w:val="26"/>
        </w:rPr>
        <w:t>ARTÍCULO 45. ESTIPULACIONES ESPECIALES.</w:t>
      </w:r>
      <w:r w:rsidRPr="00862128">
        <w:rPr>
          <w:rFonts w:ascii="Times New Roman" w:hAnsi="Times New Roman"/>
          <w:sz w:val="28"/>
          <w:szCs w:val="26"/>
        </w:rPr>
        <w:t> En las operaciones de crédito otorgadas por personas naturales o jurídicas cuyo control y vigilanci</w:t>
      </w:r>
      <w:r w:rsidRPr="00862128">
        <w:rPr>
          <w:rFonts w:ascii="Times New Roman" w:hAnsi="Times New Roman"/>
          <w:sz w:val="28"/>
          <w:szCs w:val="26"/>
        </w:rPr>
        <w:t>a sobre su actividad crediticia no haya sido asignada a alguna autoridad administrativa en particular, y en los contratos de adquisición de bienes o prestación de servicios en que el productor o proveedor otorgue de forma directa financiación, se deberá:</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1. Informar al consumidor, al momento de celebrase el respectivo contrato, de forma íntegra y clara, el monto a financiar, interés remuneratorio y, en su caso el moratorio, en términos de tasa efectiva anual que se aplique sobre el monto financiado, el sis</w:t>
      </w:r>
      <w:r w:rsidRPr="00862128">
        <w:rPr>
          <w:rFonts w:ascii="Times New Roman" w:hAnsi="Times New Roman"/>
          <w:sz w:val="28"/>
          <w:szCs w:val="26"/>
        </w:rPr>
        <w:t>tema de liquidación utilizado, la periodicidad de los pagos, el número de las cuotas y el monto de la cuota que deberá pagarse periódicamente.</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2. Fijar las tasas de interés que seguirán las reglas generales, y les serán aplicables los límites legales;</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3.</w:t>
      </w:r>
      <w:r w:rsidRPr="00862128">
        <w:rPr>
          <w:rFonts w:ascii="Times New Roman" w:hAnsi="Times New Roman"/>
          <w:sz w:val="28"/>
          <w:szCs w:val="26"/>
        </w:rPr>
        <w:t xml:space="preserve"> Liquidar si es del caso los intereses moratorios únicamente sobre las cuotas atrasadas;</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4. En caso que se cobren estudios de crédito, seguros, garantías o cualquier otro concepto adicional al precio, deberá informarse de ello al consumidor en la misma fo</w:t>
      </w:r>
      <w:r w:rsidRPr="00862128">
        <w:rPr>
          <w:rFonts w:ascii="Times New Roman" w:hAnsi="Times New Roman"/>
          <w:sz w:val="28"/>
          <w:szCs w:val="26"/>
        </w:rPr>
        <w:t>rma que se anuncia el precio.</w:t>
      </w:r>
    </w:p>
    <w:p w:rsidR="00DA2A21" w:rsidRPr="00862128" w:rsidRDefault="00862128" w:rsidP="00BE5143">
      <w:pPr>
        <w:ind w:left="567" w:right="618"/>
        <w:jc w:val="both"/>
        <w:rPr>
          <w:rFonts w:ascii="Times New Roman" w:hAnsi="Times New Roman"/>
          <w:b/>
          <w:bCs/>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b/>
          <w:bCs/>
          <w:sz w:val="28"/>
          <w:szCs w:val="26"/>
        </w:rPr>
        <w:t>PARÁGRAFO 1.</w:t>
      </w:r>
      <w:r w:rsidRPr="00862128">
        <w:rPr>
          <w:rFonts w:ascii="Times New Roman" w:hAnsi="Times New Roman"/>
          <w:sz w:val="28"/>
          <w:szCs w:val="26"/>
        </w:rPr>
        <w:t xml:space="preserve"> </w:t>
      </w:r>
      <w:r w:rsidRPr="00862128">
        <w:rPr>
          <w:rFonts w:ascii="Times New Roman" w:hAnsi="Times New Roman"/>
          <w:sz w:val="28"/>
          <w:szCs w:val="26"/>
        </w:rPr>
        <w:t>Las disposiciones relacionadas con operaciones de crédito otorgadas por personas naturales o jurídicas cuyo control y vigilancia sobre su actividad crediticia no haya sido asignada a alguna autoridad administrati</w:t>
      </w:r>
      <w:r w:rsidRPr="00862128">
        <w:rPr>
          <w:rFonts w:ascii="Times New Roman" w:hAnsi="Times New Roman"/>
          <w:sz w:val="28"/>
          <w:szCs w:val="26"/>
        </w:rPr>
        <w:t>va en particular, y con contratos de adquisición de bienes o prestación de servicios en el que el productor o proveedor otorgue de forma directa financiación, deberán ser reglamentadas por el Gobierno Nacional.</w:t>
      </w:r>
    </w:p>
    <w:p w:rsidR="00DA2A21" w:rsidRPr="00862128" w:rsidRDefault="00862128" w:rsidP="00BE5143">
      <w:pPr>
        <w:ind w:left="567" w:right="618"/>
        <w:jc w:val="both"/>
        <w:rPr>
          <w:rFonts w:ascii="Times New Roman" w:hAnsi="Times New Roman"/>
          <w:b/>
          <w:bCs/>
          <w:sz w:val="28"/>
          <w:szCs w:val="26"/>
        </w:rPr>
      </w:pPr>
    </w:p>
    <w:p w:rsidR="00974C6A" w:rsidRPr="00862128" w:rsidRDefault="00862128" w:rsidP="00BE5143">
      <w:pPr>
        <w:ind w:left="567" w:right="618"/>
        <w:jc w:val="both"/>
        <w:rPr>
          <w:rFonts w:ascii="Times New Roman" w:hAnsi="Times New Roman"/>
          <w:sz w:val="28"/>
          <w:szCs w:val="26"/>
        </w:rPr>
      </w:pPr>
      <w:r w:rsidRPr="00862128">
        <w:rPr>
          <w:rFonts w:ascii="Times New Roman" w:hAnsi="Times New Roman"/>
          <w:b/>
          <w:bCs/>
          <w:sz w:val="28"/>
          <w:szCs w:val="26"/>
        </w:rPr>
        <w:t>PARÁGRAFO 2</w:t>
      </w:r>
      <w:r w:rsidRPr="00862128">
        <w:rPr>
          <w:rFonts w:ascii="Times New Roman" w:hAnsi="Times New Roman"/>
          <w:b/>
          <w:bCs/>
          <w:sz w:val="28"/>
          <w:szCs w:val="26"/>
        </w:rPr>
        <w:t>o</w:t>
      </w:r>
      <w:r w:rsidRPr="00862128">
        <w:rPr>
          <w:rFonts w:ascii="Times New Roman" w:hAnsi="Times New Roman"/>
          <w:b/>
          <w:bCs/>
          <w:sz w:val="28"/>
          <w:szCs w:val="26"/>
        </w:rPr>
        <w:t>.</w:t>
      </w:r>
      <w:r w:rsidRPr="00862128">
        <w:rPr>
          <w:rFonts w:ascii="Times New Roman" w:hAnsi="Times New Roman"/>
          <w:sz w:val="28"/>
          <w:szCs w:val="26"/>
        </w:rPr>
        <w:t xml:space="preserve"> </w:t>
      </w:r>
      <w:r w:rsidRPr="00862128">
        <w:rPr>
          <w:rFonts w:ascii="Times New Roman" w:hAnsi="Times New Roman"/>
          <w:sz w:val="28"/>
          <w:szCs w:val="26"/>
        </w:rPr>
        <w:t>El número de cuotas de pago de</w:t>
      </w:r>
      <w:r w:rsidRPr="00862128">
        <w:rPr>
          <w:rFonts w:ascii="Times New Roman" w:hAnsi="Times New Roman"/>
          <w:sz w:val="28"/>
          <w:szCs w:val="26"/>
        </w:rPr>
        <w:t xml:space="preserve"> un crédito de consumo debe ser pactado de común acuerdo con el consumidor. Queda prohibida cualquier disposición contractual que obligue al consumidor a la financiación de créditos por un mínimo de cuotas de pago.</w:t>
      </w:r>
    </w:p>
    <w:p w:rsidR="00DA2A21" w:rsidRPr="00862128" w:rsidRDefault="00862128" w:rsidP="00BE5143">
      <w:pPr>
        <w:ind w:left="567" w:right="618"/>
        <w:jc w:val="both"/>
        <w:rPr>
          <w:rFonts w:ascii="Times New Roman" w:hAnsi="Times New Roman"/>
          <w:b/>
          <w:bCs/>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b/>
          <w:bCs/>
          <w:sz w:val="28"/>
          <w:szCs w:val="26"/>
        </w:rPr>
        <w:t>PARÁGRAFO 3o.</w:t>
      </w:r>
      <w:r w:rsidRPr="00862128">
        <w:rPr>
          <w:rFonts w:ascii="Times New Roman" w:hAnsi="Times New Roman"/>
          <w:b/>
          <w:bCs/>
          <w:sz w:val="28"/>
          <w:szCs w:val="26"/>
        </w:rPr>
        <w:t xml:space="preserve"> </w:t>
      </w:r>
      <w:r w:rsidRPr="00862128">
        <w:rPr>
          <w:rFonts w:ascii="Times New Roman" w:hAnsi="Times New Roman"/>
          <w:sz w:val="28"/>
          <w:szCs w:val="26"/>
        </w:rPr>
        <w:t xml:space="preserve">En concordancia con lo </w:t>
      </w:r>
      <w:r w:rsidRPr="00862128">
        <w:rPr>
          <w:rFonts w:ascii="Times New Roman" w:hAnsi="Times New Roman"/>
          <w:sz w:val="28"/>
          <w:szCs w:val="26"/>
        </w:rPr>
        <w:t>dispuesto en el artículo 68 de la Ley 45 de 1990, cuando el otorgamiento y ejecución de las operaciones de crédito se realicen mediante sistemas de financiación desarrollados a través de medios electrónicos, se reputarán como intereses todos los cargos por</w:t>
      </w:r>
      <w:r w:rsidRPr="00862128">
        <w:rPr>
          <w:rFonts w:ascii="Times New Roman" w:hAnsi="Times New Roman"/>
          <w:sz w:val="28"/>
          <w:szCs w:val="26"/>
        </w:rPr>
        <w:t xml:space="preserve"> concepto de uso de tecnología.</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Así mismo, se deberá informar al consumidor de manera discriminada cuáles son los cargos que se encuentren directamente asociados al crédito. Además, se deberá dar claridad que estos hacen parte de los intereses causados, s</w:t>
      </w:r>
      <w:r w:rsidRPr="00862128">
        <w:rPr>
          <w:rFonts w:ascii="Times New Roman" w:hAnsi="Times New Roman"/>
          <w:sz w:val="28"/>
          <w:szCs w:val="26"/>
        </w:rPr>
        <w:t>in que se pueda exceder los límites máximos legales vigentes.</w:t>
      </w:r>
    </w:p>
    <w:p w:rsidR="00DA2A21" w:rsidRPr="00862128" w:rsidRDefault="00862128" w:rsidP="00BE5143">
      <w:pPr>
        <w:ind w:left="567" w:right="618"/>
        <w:jc w:val="both"/>
        <w:rPr>
          <w:rFonts w:ascii="Times New Roman" w:hAnsi="Times New Roman"/>
          <w:sz w:val="28"/>
          <w:szCs w:val="26"/>
        </w:rPr>
      </w:pPr>
    </w:p>
    <w:p w:rsidR="00DA2A21"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En tal sentido, no se reputarán intereses los rubros que se causen de manera independiente al crédito, cuando hayan sido debidamente informados y cuya carga le corresponda al usuario, tales com</w:t>
      </w:r>
      <w:r w:rsidRPr="00862128">
        <w:rPr>
          <w:rFonts w:ascii="Times New Roman" w:hAnsi="Times New Roman"/>
          <w:sz w:val="28"/>
          <w:szCs w:val="26"/>
        </w:rPr>
        <w:t xml:space="preserve">o: seguros, avales, impuestos y </w:t>
      </w:r>
      <w:r w:rsidRPr="00862128">
        <w:rPr>
          <w:rFonts w:ascii="Times New Roman" w:hAnsi="Times New Roman"/>
          <w:b/>
          <w:bCs/>
          <w:sz w:val="28"/>
          <w:szCs w:val="26"/>
          <w:u w:val="single"/>
        </w:rPr>
        <w:t>firma electrónica</w:t>
      </w:r>
      <w:r w:rsidRPr="00862128">
        <w:rPr>
          <w:rFonts w:ascii="Times New Roman" w:hAnsi="Times New Roman"/>
          <w:sz w:val="28"/>
          <w:szCs w:val="26"/>
        </w:rPr>
        <w:t>, esto, sin perjuicio de los casos en que las normas expresamente los reputen como tal.</w:t>
      </w:r>
    </w:p>
    <w:p w:rsidR="00DA2A21" w:rsidRPr="00862128" w:rsidRDefault="00862128" w:rsidP="00BE5143">
      <w:pPr>
        <w:ind w:left="567" w:right="618"/>
        <w:jc w:val="both"/>
        <w:rPr>
          <w:rFonts w:ascii="Times New Roman" w:hAnsi="Times New Roman"/>
          <w:sz w:val="28"/>
          <w:szCs w:val="26"/>
        </w:rPr>
      </w:pPr>
    </w:p>
    <w:p w:rsidR="006A1DCB" w:rsidRPr="00862128" w:rsidRDefault="00862128" w:rsidP="00BE5143">
      <w:pPr>
        <w:ind w:left="567" w:right="618"/>
        <w:jc w:val="both"/>
        <w:rPr>
          <w:rFonts w:ascii="Times New Roman" w:hAnsi="Times New Roman"/>
          <w:sz w:val="28"/>
          <w:szCs w:val="26"/>
        </w:rPr>
      </w:pPr>
      <w:r w:rsidRPr="00862128">
        <w:rPr>
          <w:rFonts w:ascii="Times New Roman" w:hAnsi="Times New Roman"/>
          <w:sz w:val="28"/>
          <w:szCs w:val="26"/>
        </w:rPr>
        <w:t>Los conceptos tecnológicos que causen erogación para el consumidor y que puedan ser suplidos de manera física, deberán</w:t>
      </w:r>
      <w:r w:rsidRPr="00862128">
        <w:rPr>
          <w:rFonts w:ascii="Times New Roman" w:hAnsi="Times New Roman"/>
          <w:sz w:val="28"/>
          <w:szCs w:val="26"/>
        </w:rPr>
        <w:t xml:space="preserve"> ser informados al consumidor, quien podrá elegir la forma de ejecución del mismo.</w:t>
      </w:r>
      <w:r w:rsidRPr="00862128">
        <w:rPr>
          <w:rFonts w:ascii="Times New Roman" w:hAnsi="Times New Roman"/>
          <w:sz w:val="28"/>
          <w:szCs w:val="26"/>
        </w:rPr>
        <w:t>”</w:t>
      </w:r>
    </w:p>
    <w:p w:rsidR="00F56457" w:rsidRPr="00862128" w:rsidRDefault="00862128" w:rsidP="00F56457">
      <w:pPr>
        <w:rPr>
          <w:rFonts w:ascii="Times New Roman" w:hAnsi="Times New Roman"/>
          <w:sz w:val="28"/>
        </w:rPr>
      </w:pPr>
    </w:p>
    <w:p w:rsidR="0092797C" w:rsidRPr="00862128" w:rsidRDefault="00862128" w:rsidP="00BE5143">
      <w:pPr>
        <w:pStyle w:val="Ttulo3"/>
        <w:spacing w:before="0" w:after="0"/>
        <w:rPr>
          <w:rFonts w:ascii="Times New Roman" w:hAnsi="Times New Roman"/>
          <w:b/>
          <w:bCs/>
          <w:color w:val="auto"/>
        </w:rPr>
      </w:pPr>
      <w:bookmarkStart w:id="10" w:name="_Toc223713274"/>
      <w:bookmarkEnd w:id="7"/>
      <w:r w:rsidRPr="00862128">
        <w:rPr>
          <w:rFonts w:ascii="Times New Roman" w:hAnsi="Times New Roman"/>
          <w:b/>
          <w:bCs/>
          <w:color w:val="auto"/>
        </w:rPr>
        <w:t>3. La demanda</w:t>
      </w:r>
      <w:bookmarkEnd w:id="10"/>
    </w:p>
    <w:p w:rsidR="0092797C" w:rsidRPr="00862128" w:rsidRDefault="00862128" w:rsidP="00BE5143">
      <w:pPr>
        <w:jc w:val="both"/>
        <w:rPr>
          <w:rFonts w:ascii="Times New Roman" w:hAnsi="Times New Roman"/>
          <w:b/>
          <w:bCs/>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El demandante inicialmente acusó algunos apartes del inciso tercero del parágrafo 3 del artículo 45 de la Ley 1480 de 2011, adicionado por el artículo 7 de </w:t>
      </w:r>
      <w:r w:rsidRPr="00862128">
        <w:rPr>
          <w:rFonts w:ascii="Times New Roman" w:hAnsi="Times New Roman"/>
          <w:sz w:val="28"/>
          <w:szCs w:val="28"/>
        </w:rPr>
        <w:t>la Ley 2439 de 2024, por violar los artículos 13 (principio de igualdad), 78 (protección de los consumidores) y 333 (libre competencia económica y libertad de empresa) de la Constitución Política</w:t>
      </w:r>
      <w:r w:rsidRPr="00862128">
        <w:rPr>
          <w:rStyle w:val="Refdenotaalpie"/>
          <w:rFonts w:ascii="Times New Roman" w:hAnsi="Times New Roman"/>
          <w:sz w:val="28"/>
          <w:szCs w:val="28"/>
        </w:rPr>
        <w:footnoteReference w:id="6"/>
      </w:r>
      <w:r w:rsidRPr="00862128">
        <w:rPr>
          <w:rFonts w:ascii="Times New Roman" w:hAnsi="Times New Roman"/>
          <w:sz w:val="28"/>
          <w:szCs w:val="28"/>
        </w:rPr>
        <w:t>.</w:t>
      </w:r>
    </w:p>
    <w:p w:rsidR="00800272" w:rsidRPr="00862128" w:rsidRDefault="00862128" w:rsidP="00BE5143">
      <w:pPr>
        <w:pStyle w:val="Prrafodelista"/>
        <w:tabs>
          <w:tab w:val="left" w:pos="567"/>
        </w:tabs>
        <w:ind w:left="0"/>
        <w:jc w:val="both"/>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Estructuró su argumentación señalando que</w:t>
      </w:r>
      <w:r w:rsidRPr="00862128">
        <w:rPr>
          <w:rFonts w:ascii="Times New Roman" w:hAnsi="Times New Roman"/>
          <w:sz w:val="28"/>
          <w:szCs w:val="28"/>
        </w:rPr>
        <w:t>:</w:t>
      </w:r>
      <w:r w:rsidRPr="00862128">
        <w:rPr>
          <w:rFonts w:ascii="Times New Roman" w:hAnsi="Times New Roman"/>
          <w:sz w:val="28"/>
          <w:szCs w:val="28"/>
        </w:rPr>
        <w:t xml:space="preserve"> (i) la norma crea un trato diferenciado injustificado entre dos grupos de entidades que realizan la misma actividad económica: aquellas vigiladas por la Superintendencia Financiera y las que no lo están, por lo tanto, el régimen de vigilancia administrati</w:t>
      </w:r>
      <w:r w:rsidRPr="00862128">
        <w:rPr>
          <w:rFonts w:ascii="Times New Roman" w:hAnsi="Times New Roman"/>
          <w:sz w:val="28"/>
          <w:szCs w:val="28"/>
        </w:rPr>
        <w:t xml:space="preserve">va no es un criterio válido para establecer diferencias en materia de cómputo de intereses;  (ii) </w:t>
      </w:r>
      <w:r w:rsidRPr="00862128">
        <w:rPr>
          <w:rFonts w:ascii="Times New Roman" w:hAnsi="Times New Roman"/>
          <w:sz w:val="28"/>
          <w:szCs w:val="28"/>
        </w:rPr>
        <w:t>a</w:t>
      </w:r>
      <w:r w:rsidRPr="00862128">
        <w:rPr>
          <w:rFonts w:ascii="Times New Roman" w:hAnsi="Times New Roman"/>
          <w:sz w:val="28"/>
          <w:szCs w:val="28"/>
        </w:rPr>
        <w:t>l permitir la exclusión de la firma electrónica del cómputo de intereses, se fragmenta la información sobre el costo real del crédito, dificultando que los c</w:t>
      </w:r>
      <w:r w:rsidRPr="00862128">
        <w:rPr>
          <w:rFonts w:ascii="Times New Roman" w:hAnsi="Times New Roman"/>
          <w:sz w:val="28"/>
          <w:szCs w:val="28"/>
        </w:rPr>
        <w:t>onsumidores comparen ofertas y tomen decisiones informadas</w:t>
      </w:r>
      <w:r w:rsidRPr="00862128">
        <w:rPr>
          <w:rFonts w:ascii="Times New Roman" w:hAnsi="Times New Roman"/>
          <w:sz w:val="28"/>
          <w:szCs w:val="28"/>
        </w:rPr>
        <w:t>;</w:t>
      </w:r>
      <w:r w:rsidRPr="00862128">
        <w:rPr>
          <w:rFonts w:ascii="Times New Roman" w:hAnsi="Times New Roman"/>
          <w:sz w:val="28"/>
          <w:szCs w:val="28"/>
        </w:rPr>
        <w:t xml:space="preserve"> y (iii) la norma genera una asimetría regulatoria que otorga una ventaja competitiva artificial a las entidades no vigiladas, ya que al no tener que incluir la firma electrónica en el cálculo de l</w:t>
      </w:r>
      <w:r w:rsidRPr="00862128">
        <w:rPr>
          <w:rFonts w:ascii="Times New Roman" w:hAnsi="Times New Roman"/>
          <w:sz w:val="28"/>
          <w:szCs w:val="28"/>
        </w:rPr>
        <w:t>a tasa de interés, estas entidades pueden anunciar tasas nominalmente más bajas, aunque el costo total para el consumidor sea el mismo o incluso superior</w:t>
      </w:r>
      <w:r w:rsidRPr="00862128">
        <w:rPr>
          <w:rFonts w:ascii="Times New Roman" w:hAnsi="Times New Roman"/>
          <w:sz w:val="28"/>
          <w:szCs w:val="28"/>
        </w:rPr>
        <w:t>.</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Mediante Auto del 3 de junio de 2025</w:t>
      </w:r>
      <w:r w:rsidRPr="00862128">
        <w:rPr>
          <w:rStyle w:val="Refdenotaalpie"/>
          <w:rFonts w:ascii="Times New Roman" w:hAnsi="Times New Roman"/>
          <w:sz w:val="28"/>
          <w:szCs w:val="28"/>
        </w:rPr>
        <w:footnoteReference w:id="7"/>
      </w:r>
      <w:r w:rsidRPr="00862128">
        <w:rPr>
          <w:rFonts w:ascii="Times New Roman" w:hAnsi="Times New Roman"/>
          <w:sz w:val="28"/>
          <w:szCs w:val="28"/>
        </w:rPr>
        <w:t>, la magistrada sustanciadora</w:t>
      </w:r>
      <w:r w:rsidRPr="00862128">
        <w:rPr>
          <w:rStyle w:val="Refdenotaalpie"/>
          <w:rFonts w:ascii="Times New Roman" w:hAnsi="Times New Roman"/>
          <w:sz w:val="28"/>
          <w:szCs w:val="28"/>
        </w:rPr>
        <w:footnoteReference w:id="8"/>
      </w:r>
      <w:r w:rsidRPr="00862128">
        <w:rPr>
          <w:rFonts w:ascii="Times New Roman" w:hAnsi="Times New Roman"/>
          <w:sz w:val="28"/>
          <w:szCs w:val="28"/>
        </w:rPr>
        <w:t xml:space="preserve"> inadmitió la demanda porque no s</w:t>
      </w:r>
      <w:r w:rsidRPr="00862128">
        <w:rPr>
          <w:rFonts w:ascii="Times New Roman" w:hAnsi="Times New Roman"/>
          <w:sz w:val="28"/>
          <w:szCs w:val="28"/>
        </w:rPr>
        <w:t>atisfacía los requisitos señalados en el artículo 2 del Decreto 2067 de 1991, en particular las exigencias de claridad, especificidad y suficiencia.</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De conformidad con lo previsto en el artículo 6 del Decreto 2067 de 1991, el auto mencionado concedió un t</w:t>
      </w:r>
      <w:r w:rsidRPr="00862128">
        <w:rPr>
          <w:rFonts w:ascii="Times New Roman" w:hAnsi="Times New Roman"/>
          <w:sz w:val="28"/>
          <w:szCs w:val="28"/>
        </w:rPr>
        <w:t>érmino de tres días para que el promotor de la acción corrigiera, si así lo consideraba, su demanda. Esta decisión fue notificada por estado del 5 de junio de 2025 y, dentro del término de ejecutoria transcurrido durante los días 6, 9 y 10 del mismo, el de</w:t>
      </w:r>
      <w:r w:rsidRPr="00862128">
        <w:rPr>
          <w:rFonts w:ascii="Times New Roman" w:hAnsi="Times New Roman"/>
          <w:sz w:val="28"/>
          <w:szCs w:val="28"/>
        </w:rPr>
        <w:t>mandante allegó escrito de corrección</w:t>
      </w:r>
      <w:r w:rsidRPr="00862128">
        <w:rPr>
          <w:rStyle w:val="Refdenotaalpie"/>
          <w:rFonts w:ascii="Times New Roman" w:hAnsi="Times New Roman"/>
          <w:sz w:val="28"/>
          <w:szCs w:val="28"/>
        </w:rPr>
        <w:footnoteReference w:id="9"/>
      </w:r>
      <w:r w:rsidRPr="00862128">
        <w:rPr>
          <w:rFonts w:ascii="Times New Roman" w:hAnsi="Times New Roman"/>
          <w:sz w:val="28"/>
          <w:szCs w:val="28"/>
        </w:rPr>
        <w:t xml:space="preserve"> el 10 de junio del presente año</w:t>
      </w:r>
      <w:r w:rsidRPr="00862128">
        <w:rPr>
          <w:rStyle w:val="Refdenotaalpie"/>
          <w:rFonts w:ascii="Times New Roman" w:hAnsi="Times New Roman"/>
          <w:bCs/>
          <w:sz w:val="28"/>
          <w:szCs w:val="28"/>
        </w:rPr>
        <w:footnoteReference w:id="10"/>
      </w:r>
      <w:r w:rsidRPr="00862128">
        <w:rPr>
          <w:rFonts w:ascii="Times New Roman" w:hAnsi="Times New Roman"/>
          <w:sz w:val="28"/>
          <w:szCs w:val="28"/>
        </w:rPr>
        <w:t xml:space="preserve">, señalando lo siguiente: </w:t>
      </w:r>
    </w:p>
    <w:p w:rsidR="00800272" w:rsidRPr="00862128" w:rsidRDefault="00862128" w:rsidP="00BE5143">
      <w:pPr>
        <w:pStyle w:val="Prrafodelista"/>
        <w:tabs>
          <w:tab w:val="left" w:pos="567"/>
        </w:tabs>
        <w:ind w:left="0"/>
        <w:jc w:val="both"/>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i/>
          <w:iCs/>
          <w:sz w:val="28"/>
          <w:szCs w:val="28"/>
        </w:rPr>
        <w:t>Sobre el objeto de control.</w:t>
      </w:r>
      <w:r w:rsidRPr="00862128">
        <w:rPr>
          <w:rFonts w:ascii="Times New Roman" w:hAnsi="Times New Roman"/>
          <w:b/>
          <w:bCs/>
          <w:sz w:val="28"/>
          <w:szCs w:val="28"/>
        </w:rPr>
        <w:t xml:space="preserve"> </w:t>
      </w:r>
      <w:r w:rsidRPr="00862128">
        <w:rPr>
          <w:rFonts w:ascii="Times New Roman" w:hAnsi="Times New Roman"/>
          <w:sz w:val="28"/>
          <w:szCs w:val="28"/>
        </w:rPr>
        <w:t>El accionante precisó que su demanda se dirige exclusivamente contra la expresión “</w:t>
      </w:r>
      <w:r w:rsidRPr="00862128">
        <w:rPr>
          <w:rFonts w:ascii="Times New Roman" w:hAnsi="Times New Roman"/>
          <w:i/>
          <w:iCs/>
          <w:sz w:val="28"/>
          <w:szCs w:val="28"/>
        </w:rPr>
        <w:t>firma electrónica</w:t>
      </w:r>
      <w:r w:rsidRPr="00862128">
        <w:rPr>
          <w:rFonts w:ascii="Times New Roman" w:hAnsi="Times New Roman"/>
          <w:sz w:val="28"/>
          <w:szCs w:val="28"/>
        </w:rPr>
        <w:t>”, contenida en el inciso ter</w:t>
      </w:r>
      <w:r w:rsidRPr="00862128">
        <w:rPr>
          <w:rFonts w:ascii="Times New Roman" w:hAnsi="Times New Roman"/>
          <w:sz w:val="28"/>
          <w:szCs w:val="28"/>
        </w:rPr>
        <w:t xml:space="preserve">cero del parágrafo 3 del artículo 45 de la Ley 1480 de 2011. </w:t>
      </w:r>
    </w:p>
    <w:p w:rsidR="00800272" w:rsidRPr="00862128" w:rsidRDefault="00862128" w:rsidP="00BE5143">
      <w:pPr>
        <w:pStyle w:val="Prrafodelista"/>
        <w:rPr>
          <w:rFonts w:ascii="Times New Roman" w:hAnsi="Times New Roman"/>
          <w:i/>
          <w:iCs/>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i/>
          <w:iCs/>
          <w:sz w:val="28"/>
          <w:szCs w:val="28"/>
        </w:rPr>
        <w:t>Sobre los grupos que considera comparables y frente a los cuales el accionante plantea su cargo por violación al principio de igualdad.</w:t>
      </w:r>
      <w:r w:rsidRPr="00862128">
        <w:rPr>
          <w:rFonts w:ascii="Times New Roman" w:hAnsi="Times New Roman"/>
          <w:sz w:val="28"/>
          <w:szCs w:val="28"/>
        </w:rPr>
        <w:t xml:space="preserve"> El actor puntualizó que los dos grupos son los siguientes</w:t>
      </w:r>
      <w:r w:rsidRPr="00862128">
        <w:rPr>
          <w:rFonts w:ascii="Times New Roman" w:hAnsi="Times New Roman"/>
          <w:sz w:val="28"/>
          <w:szCs w:val="28"/>
        </w:rPr>
        <w:t>: (i) “las personas naturales o jurídicas que otorgan créditos mediante sistemas de financiación desarrollados a través de medios electrónicos y cuyo control y vigilancia sobre su actividad crediticia no ha sido asignado a alguna autoridad administrativa e</w:t>
      </w:r>
      <w:r w:rsidRPr="00862128">
        <w:rPr>
          <w:rFonts w:ascii="Times New Roman" w:hAnsi="Times New Roman"/>
          <w:sz w:val="28"/>
          <w:szCs w:val="28"/>
        </w:rPr>
        <w:t>n particular”</w:t>
      </w:r>
      <w:r w:rsidRPr="00862128">
        <w:rPr>
          <w:rStyle w:val="Refdenotaalpie"/>
          <w:rFonts w:ascii="Times New Roman" w:hAnsi="Times New Roman"/>
          <w:sz w:val="28"/>
          <w:szCs w:val="28"/>
        </w:rPr>
        <w:footnoteReference w:id="11"/>
      </w:r>
      <w:r w:rsidRPr="00862128">
        <w:rPr>
          <w:rFonts w:ascii="Times New Roman" w:hAnsi="Times New Roman"/>
          <w:sz w:val="28"/>
          <w:szCs w:val="28"/>
        </w:rPr>
        <w:t xml:space="preserve"> y, (ii) “los establecimientos de crédito y demás entidades vigiladas por la Superintendencia Financiera de Colombia, que otorgan créditos a través de mecanismos electrónicos”</w:t>
      </w:r>
      <w:r w:rsidRPr="00862128">
        <w:rPr>
          <w:rStyle w:val="Refdenotaalpie"/>
          <w:rFonts w:ascii="Times New Roman" w:hAnsi="Times New Roman"/>
          <w:sz w:val="28"/>
          <w:szCs w:val="28"/>
        </w:rPr>
        <w:footnoteReference w:id="12"/>
      </w:r>
      <w:r w:rsidRPr="00862128">
        <w:rPr>
          <w:rFonts w:ascii="Times New Roman" w:hAnsi="Times New Roman"/>
          <w:sz w:val="28"/>
          <w:szCs w:val="28"/>
        </w:rPr>
        <w:t xml:space="preserve">.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Adicionalmente, el escrito de corrección desarrolló las razone</w:t>
      </w:r>
      <w:r w:rsidRPr="00862128">
        <w:rPr>
          <w:rFonts w:ascii="Times New Roman" w:hAnsi="Times New Roman"/>
          <w:sz w:val="28"/>
          <w:szCs w:val="28"/>
        </w:rPr>
        <w:t>s por las que el demandante considera que esos dos grupos de personas naturales y jurídicas compiten en el mismo mercado por los mismos consumidores. Al respecto, precisó que el mercado donde compiten es específicamente el del crédito de consumo, que el li</w:t>
      </w:r>
      <w:r w:rsidRPr="00862128">
        <w:rPr>
          <w:rFonts w:ascii="Times New Roman" w:hAnsi="Times New Roman"/>
          <w:sz w:val="28"/>
          <w:szCs w:val="28"/>
        </w:rPr>
        <w:t>teral a) del numeral 6 del artículo 11.2.5.1.2. del Decreto 2555 de 2010 define como “el constituido por las operaciones activas de crédito realizadas con personas naturales para financiar la adquisición de bienes de consumo o el pago de servicios para fin</w:t>
      </w:r>
      <w:r w:rsidRPr="00862128">
        <w:rPr>
          <w:rFonts w:ascii="Times New Roman" w:hAnsi="Times New Roman"/>
          <w:sz w:val="28"/>
          <w:szCs w:val="28"/>
        </w:rPr>
        <w:t>es no comerciales o empresariales, incluyendo las efectuadas por medio de sistemas de tarjetas de crédito, en ambos casos, independientemente de su monto”</w:t>
      </w:r>
      <w:r w:rsidRPr="00862128">
        <w:rPr>
          <w:rStyle w:val="Refdenotaalpie"/>
          <w:rFonts w:ascii="Times New Roman" w:hAnsi="Times New Roman"/>
          <w:sz w:val="28"/>
          <w:szCs w:val="28"/>
        </w:rPr>
        <w:footnoteReference w:id="13"/>
      </w:r>
      <w:r w:rsidRPr="00862128">
        <w:rPr>
          <w:rFonts w:ascii="Times New Roman" w:hAnsi="Times New Roman"/>
          <w:sz w:val="28"/>
          <w:szCs w:val="28"/>
        </w:rPr>
        <w:t xml:space="preserve">. Este, de acuerdo con el accionante, es el sector específico del mercado que resulta relevante para </w:t>
      </w:r>
      <w:r w:rsidRPr="00862128">
        <w:rPr>
          <w:rFonts w:ascii="Times New Roman" w:hAnsi="Times New Roman"/>
          <w:sz w:val="28"/>
          <w:szCs w:val="28"/>
        </w:rPr>
        <w:t>analizar su cargo porque el artículo 45 de la Ley 1480 de 2011, dentro del que se encuentra la expresión acusada, “regula específicamente las operaciones de crédito para la adquisición de bienes o prestación de servicios, lo que corresponde exactamente a l</w:t>
      </w:r>
      <w:r w:rsidRPr="00862128">
        <w:rPr>
          <w:rFonts w:ascii="Times New Roman" w:hAnsi="Times New Roman"/>
          <w:sz w:val="28"/>
          <w:szCs w:val="28"/>
        </w:rPr>
        <w:t>a definición legal de crédito de consumo”</w:t>
      </w:r>
      <w:r w:rsidRPr="00862128">
        <w:rPr>
          <w:rStyle w:val="Refdenotaalpie"/>
          <w:rFonts w:ascii="Times New Roman" w:hAnsi="Times New Roman"/>
          <w:sz w:val="28"/>
          <w:szCs w:val="28"/>
        </w:rPr>
        <w:footnoteReference w:id="14"/>
      </w:r>
      <w:r w:rsidRPr="00862128">
        <w:rPr>
          <w:rFonts w:ascii="Times New Roman" w:hAnsi="Times New Roman"/>
          <w:sz w:val="28"/>
          <w:szCs w:val="28"/>
        </w:rPr>
        <w:t>.</w:t>
      </w:r>
    </w:p>
    <w:p w:rsidR="00800272" w:rsidRPr="00862128" w:rsidRDefault="00862128" w:rsidP="00BE5143">
      <w:pPr>
        <w:pStyle w:val="Prrafodelista"/>
        <w:tabs>
          <w:tab w:val="left" w:pos="567"/>
        </w:tabs>
        <w:ind w:left="0"/>
        <w:jc w:val="both"/>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Los dos grupos compiten directamente en ese mercado, de acuerdo con el ciudadano, porque (i) los productos crediticios que ofrecen son “funcionalmente equivalentes entre sí desde la perspectiva del consumidor”</w:t>
      </w:r>
      <w:r w:rsidRPr="00862128">
        <w:rPr>
          <w:rStyle w:val="Refdenotaalpie"/>
          <w:rFonts w:ascii="Times New Roman" w:hAnsi="Times New Roman"/>
          <w:sz w:val="28"/>
          <w:szCs w:val="28"/>
        </w:rPr>
        <w:footnoteReference w:id="15"/>
      </w:r>
      <w:r w:rsidRPr="00862128">
        <w:rPr>
          <w:rFonts w:ascii="Times New Roman" w:hAnsi="Times New Roman"/>
          <w:sz w:val="28"/>
          <w:szCs w:val="28"/>
        </w:rPr>
        <w:t>;</w:t>
      </w:r>
      <w:r w:rsidRPr="00862128">
        <w:rPr>
          <w:rFonts w:ascii="Times New Roman" w:hAnsi="Times New Roman"/>
          <w:sz w:val="28"/>
          <w:szCs w:val="28"/>
        </w:rPr>
        <w:t xml:space="preserve"> (ii) ambos “utilizan canales digitales y plataformas tecnológicas para ofrecer sus servicios crediticios”</w:t>
      </w:r>
      <w:r w:rsidRPr="00862128">
        <w:rPr>
          <w:rStyle w:val="Refdenotaalpie"/>
          <w:rFonts w:ascii="Times New Roman" w:hAnsi="Times New Roman"/>
          <w:sz w:val="28"/>
          <w:szCs w:val="28"/>
        </w:rPr>
        <w:footnoteReference w:id="16"/>
      </w:r>
      <w:r w:rsidRPr="00862128">
        <w:rPr>
          <w:rFonts w:ascii="Times New Roman" w:hAnsi="Times New Roman"/>
          <w:sz w:val="28"/>
          <w:szCs w:val="28"/>
        </w:rPr>
        <w:t>; (iii) la legislación no segmenta el mercado de crédito de consumo ni establece distinción alguna “respecto de los consumidores a los que las entida</w:t>
      </w:r>
      <w:r w:rsidRPr="00862128">
        <w:rPr>
          <w:rFonts w:ascii="Times New Roman" w:hAnsi="Times New Roman"/>
          <w:sz w:val="28"/>
          <w:szCs w:val="28"/>
        </w:rPr>
        <w:t>des vigiladas y las no vigiladas por una autoridad administrativa en particular pueden ofrecer créditos de consumo”</w:t>
      </w:r>
      <w:r w:rsidRPr="00862128">
        <w:rPr>
          <w:rStyle w:val="Refdenotaalpie"/>
          <w:rFonts w:ascii="Times New Roman" w:hAnsi="Times New Roman"/>
          <w:sz w:val="28"/>
          <w:szCs w:val="28"/>
        </w:rPr>
        <w:footnoteReference w:id="17"/>
      </w:r>
      <w:r w:rsidRPr="00862128">
        <w:rPr>
          <w:rFonts w:ascii="Times New Roman" w:hAnsi="Times New Roman"/>
          <w:sz w:val="28"/>
          <w:szCs w:val="28"/>
        </w:rPr>
        <w:t>;</w:t>
      </w:r>
      <w:r w:rsidRPr="00862128">
        <w:rPr>
          <w:rFonts w:ascii="Times New Roman" w:hAnsi="Times New Roman"/>
          <w:sz w:val="28"/>
          <w:szCs w:val="28"/>
        </w:rPr>
        <w:t xml:space="preserve"> y, (iv) los créditos que uno y otro grupo ofrecen son perfectamente sustituibles, puesto que el consumidor interesado en un crédito de con</w:t>
      </w:r>
      <w:r w:rsidRPr="00862128">
        <w:rPr>
          <w:rFonts w:ascii="Times New Roman" w:hAnsi="Times New Roman"/>
          <w:sz w:val="28"/>
          <w:szCs w:val="28"/>
        </w:rPr>
        <w:t>sumo puede “indistintamente acudir a un banco tradicional o a una plataforma digital no vigilada, pues ambas opciones satisfacen la misma necesidad de financiación”</w:t>
      </w:r>
      <w:r w:rsidRPr="00862128">
        <w:rPr>
          <w:rStyle w:val="Refdenotaalpie"/>
          <w:rFonts w:ascii="Times New Roman" w:hAnsi="Times New Roman"/>
          <w:sz w:val="28"/>
          <w:szCs w:val="28"/>
        </w:rPr>
        <w:footnoteReference w:id="18"/>
      </w:r>
      <w:r w:rsidRPr="00862128">
        <w:rPr>
          <w:rFonts w:ascii="Times New Roman" w:hAnsi="Times New Roman"/>
          <w:sz w:val="28"/>
          <w:szCs w:val="28"/>
        </w:rPr>
        <w:t xml:space="preserve">. </w:t>
      </w:r>
    </w:p>
    <w:p w:rsidR="00800272" w:rsidRPr="00862128" w:rsidRDefault="00862128" w:rsidP="00BE5143">
      <w:pPr>
        <w:pStyle w:val="Prrafodelista"/>
        <w:rPr>
          <w:rFonts w:ascii="Times New Roman" w:hAnsi="Times New Roman"/>
          <w:i/>
          <w:iCs/>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i/>
          <w:iCs/>
          <w:sz w:val="28"/>
          <w:szCs w:val="28"/>
        </w:rPr>
        <w:t>Sobre “la violación de las normas de protección al consumidor” y de la libre competenci</w:t>
      </w:r>
      <w:r w:rsidRPr="00862128">
        <w:rPr>
          <w:rFonts w:ascii="Times New Roman" w:hAnsi="Times New Roman"/>
          <w:i/>
          <w:iCs/>
          <w:sz w:val="28"/>
          <w:szCs w:val="28"/>
        </w:rPr>
        <w:t>a</w:t>
      </w:r>
      <w:r w:rsidRPr="00862128">
        <w:rPr>
          <w:rStyle w:val="Refdenotaalpie"/>
          <w:rFonts w:ascii="Times New Roman" w:hAnsi="Times New Roman"/>
          <w:i/>
          <w:iCs/>
          <w:sz w:val="28"/>
          <w:szCs w:val="28"/>
        </w:rPr>
        <w:footnoteReference w:id="19"/>
      </w:r>
      <w:r w:rsidRPr="00862128">
        <w:rPr>
          <w:rFonts w:ascii="Times New Roman" w:hAnsi="Times New Roman"/>
          <w:i/>
          <w:iCs/>
          <w:sz w:val="28"/>
          <w:szCs w:val="28"/>
        </w:rPr>
        <w:t>.</w:t>
      </w:r>
      <w:r w:rsidRPr="00862128">
        <w:rPr>
          <w:rFonts w:ascii="Times New Roman" w:hAnsi="Times New Roman"/>
          <w:b/>
          <w:bCs/>
          <w:sz w:val="28"/>
          <w:szCs w:val="28"/>
        </w:rPr>
        <w:t xml:space="preserve"> </w:t>
      </w:r>
      <w:r w:rsidRPr="00862128">
        <w:rPr>
          <w:rFonts w:ascii="Times New Roman" w:hAnsi="Times New Roman"/>
          <w:sz w:val="28"/>
          <w:szCs w:val="28"/>
        </w:rPr>
        <w:t xml:space="preserve">El promotor de la demanda desarrolló las razones por las que considera que el tratamiento diferenciado que la norma </w:t>
      </w:r>
      <w:r w:rsidRPr="00862128">
        <w:rPr>
          <w:rFonts w:ascii="Times New Roman" w:hAnsi="Times New Roman"/>
          <w:sz w:val="28"/>
          <w:szCs w:val="28"/>
        </w:rPr>
        <w:t xml:space="preserve">otorga </w:t>
      </w:r>
      <w:r w:rsidRPr="00862128">
        <w:rPr>
          <w:rFonts w:ascii="Times New Roman" w:hAnsi="Times New Roman"/>
          <w:sz w:val="28"/>
          <w:szCs w:val="28"/>
        </w:rPr>
        <w:t>a los dos grupos comparables genera un desmedro para el consumidor financiero y viola la libre competencia. Dos razones esenciale</w:t>
      </w:r>
      <w:r w:rsidRPr="00862128">
        <w:rPr>
          <w:rFonts w:ascii="Times New Roman" w:hAnsi="Times New Roman"/>
          <w:sz w:val="28"/>
          <w:szCs w:val="28"/>
        </w:rPr>
        <w:t xml:space="preserve">s explican esta conclusión: primero, el tratamiento diferenciado permite que el grupo al que la norma demandada resulta aplicable eluda los límites máximos de interés establecidos en la ley, al facultarlo para excluir de los intereses los costos asociados </w:t>
      </w:r>
      <w:r w:rsidRPr="00862128">
        <w:rPr>
          <w:rFonts w:ascii="Times New Roman" w:hAnsi="Times New Roman"/>
          <w:sz w:val="28"/>
          <w:szCs w:val="28"/>
        </w:rPr>
        <w:t xml:space="preserve">a la firma electrónica, que no están regulados; segundo, el tratamiento mencionado impide que el consumidor tenga acceso a información comparable sobre las alternativas que puede encontrar en el mercado.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La primera razón se explica de la siguiente forma.</w:t>
      </w:r>
      <w:r w:rsidRPr="00862128">
        <w:rPr>
          <w:rFonts w:ascii="Times New Roman" w:hAnsi="Times New Roman"/>
          <w:sz w:val="28"/>
          <w:szCs w:val="28"/>
        </w:rPr>
        <w:t xml:space="preserve"> Con base en el nuevo régimen que la norma acusada crea, los oferentes cubiertos por ella pueden cobrar tasas de interés equivalentes o cercanas a la tasa de usura y, adicionalmente y por separado, cobrar al consumidor los costos asociados a la firma elect</w:t>
      </w:r>
      <w:r w:rsidRPr="00862128">
        <w:rPr>
          <w:rFonts w:ascii="Times New Roman" w:hAnsi="Times New Roman"/>
          <w:sz w:val="28"/>
          <w:szCs w:val="28"/>
        </w:rPr>
        <w:t>rónica. De esta manera, si bien no se viola en apariencia el límite legal, sí se puede eludir porque, a través de “defectos regulatorios” de la disposición, se puede lograr “un resultado que, aunque formalmente no contravenga la letra de la ley, sí frustra</w:t>
      </w:r>
      <w:r w:rsidRPr="00862128">
        <w:rPr>
          <w:rFonts w:ascii="Times New Roman" w:hAnsi="Times New Roman"/>
          <w:sz w:val="28"/>
          <w:szCs w:val="28"/>
        </w:rPr>
        <w:t xml:space="preserve"> su espíritu y su propósito protector”</w:t>
      </w:r>
      <w:r w:rsidRPr="00862128">
        <w:rPr>
          <w:rStyle w:val="Refdenotaalpie"/>
          <w:rFonts w:ascii="Times New Roman" w:hAnsi="Times New Roman"/>
          <w:sz w:val="28"/>
          <w:szCs w:val="28"/>
        </w:rPr>
        <w:footnoteReference w:id="20"/>
      </w:r>
      <w:r w:rsidRPr="00862128">
        <w:rPr>
          <w:rFonts w:ascii="Times New Roman" w:hAnsi="Times New Roman"/>
          <w:sz w:val="28"/>
          <w:szCs w:val="28"/>
        </w:rPr>
        <w:t xml:space="preserve">. Los límites legales, en el caso de las entidades vigiladas por la Superintendencia Financiera, sí incluyen los costos asociados a la firma electrónica.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La segunda razón se fundamenta en que el “marco regulatorio r</w:t>
      </w:r>
      <w:r w:rsidRPr="00862128">
        <w:rPr>
          <w:rFonts w:ascii="Times New Roman" w:hAnsi="Times New Roman"/>
          <w:sz w:val="28"/>
          <w:szCs w:val="28"/>
        </w:rPr>
        <w:t>econoce que la tasa de interés constituye el indicador principal que utilizan los consumidores para evaluar y comparar las diferentes opciones de crédito disponibles en el mercado”</w:t>
      </w:r>
      <w:r w:rsidRPr="00862128">
        <w:rPr>
          <w:rStyle w:val="Refdenotaalpie"/>
          <w:rFonts w:ascii="Times New Roman" w:hAnsi="Times New Roman"/>
          <w:sz w:val="28"/>
          <w:szCs w:val="28"/>
        </w:rPr>
        <w:footnoteReference w:id="21"/>
      </w:r>
      <w:r w:rsidRPr="00862128">
        <w:rPr>
          <w:rFonts w:ascii="Times New Roman" w:hAnsi="Times New Roman"/>
          <w:sz w:val="28"/>
          <w:szCs w:val="28"/>
        </w:rPr>
        <w:t>. El Decreto 1074 de 2015 obliga a las entidades que ofrecen créditos a sum</w:t>
      </w:r>
      <w:r w:rsidRPr="00862128">
        <w:rPr>
          <w:rFonts w:ascii="Times New Roman" w:hAnsi="Times New Roman"/>
          <w:sz w:val="28"/>
          <w:szCs w:val="28"/>
        </w:rPr>
        <w:t>inistrar al consumidor la información sobre sus condiciones de forma clara y discriminada y exige, en particular, que se informe “la tasa de interés remuneratoria que se cobrará por la financiación del pago de la obligación adquirida, expresada como tasa d</w:t>
      </w:r>
      <w:r w:rsidRPr="00862128">
        <w:rPr>
          <w:rFonts w:ascii="Times New Roman" w:hAnsi="Times New Roman"/>
          <w:sz w:val="28"/>
          <w:szCs w:val="28"/>
        </w:rPr>
        <w:t>e interés efectiva anual”</w:t>
      </w:r>
      <w:r w:rsidRPr="00862128">
        <w:rPr>
          <w:rStyle w:val="Refdenotaalpie"/>
          <w:rFonts w:ascii="Times New Roman" w:hAnsi="Times New Roman"/>
          <w:sz w:val="28"/>
          <w:szCs w:val="28"/>
        </w:rPr>
        <w:footnoteReference w:id="22"/>
      </w:r>
      <w:r w:rsidRPr="00862128">
        <w:rPr>
          <w:rFonts w:ascii="Times New Roman" w:hAnsi="Times New Roman"/>
          <w:sz w:val="28"/>
          <w:szCs w:val="28"/>
        </w:rPr>
        <w:t xml:space="preserve">.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Así, argumenta el actor, la tasa de interés es la pieza de información esencial a partir de la cual el consumidor financiero puede comparar las distintas ofertas disponibles en el mercado. En la medida que la norma demanda</w:t>
      </w:r>
      <w:r w:rsidRPr="00862128">
        <w:rPr>
          <w:rFonts w:ascii="Times New Roman" w:hAnsi="Times New Roman"/>
          <w:sz w:val="28"/>
          <w:szCs w:val="28"/>
        </w:rPr>
        <w:t>da</w:t>
      </w:r>
      <w:r w:rsidRPr="00862128">
        <w:rPr>
          <w:rFonts w:ascii="Times New Roman" w:hAnsi="Times New Roman"/>
          <w:sz w:val="28"/>
          <w:szCs w:val="28"/>
        </w:rPr>
        <w:t xml:space="preserve"> g</w:t>
      </w:r>
      <w:r w:rsidRPr="00862128">
        <w:rPr>
          <w:rFonts w:ascii="Times New Roman" w:hAnsi="Times New Roman"/>
          <w:sz w:val="28"/>
          <w:szCs w:val="28"/>
        </w:rPr>
        <w:t>enera una ventaja artificial para las entidades y personas que no están sometidas a control y vigilancia de una autoridad administrativa particular, “rompe esta lógica de comparabilidad”</w:t>
      </w:r>
      <w:r w:rsidRPr="00862128">
        <w:rPr>
          <w:rStyle w:val="Refdenotaalpie"/>
          <w:rFonts w:ascii="Times New Roman" w:hAnsi="Times New Roman"/>
          <w:sz w:val="28"/>
          <w:szCs w:val="28"/>
        </w:rPr>
        <w:footnoteReference w:id="23"/>
      </w:r>
      <w:r w:rsidRPr="00862128">
        <w:rPr>
          <w:rFonts w:ascii="Times New Roman" w:hAnsi="Times New Roman"/>
          <w:sz w:val="28"/>
          <w:szCs w:val="28"/>
        </w:rPr>
        <w:t xml:space="preserve">.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Si bien es cierto -asegura el demandante- que el mismo artículo </w:t>
      </w:r>
      <w:r w:rsidRPr="00862128">
        <w:rPr>
          <w:rFonts w:ascii="Times New Roman" w:hAnsi="Times New Roman"/>
          <w:sz w:val="28"/>
          <w:szCs w:val="28"/>
        </w:rPr>
        <w:t>45 de la Ley 1480 exige que los rubros que no se reputen intereses sean “debidamente informados” al consumidor, lo cierto es que ese deber no suple adecuadamente el vacío de información al que este último se ve enfrentado. Tal es la situación porque (i) no</w:t>
      </w:r>
      <w:r w:rsidRPr="00862128">
        <w:rPr>
          <w:rFonts w:ascii="Times New Roman" w:hAnsi="Times New Roman"/>
          <w:sz w:val="28"/>
          <w:szCs w:val="28"/>
        </w:rPr>
        <w:t xml:space="preserve"> existe una regulación específica sobre la forma en la que esa información concreta debe ser suministrada (a diferencia de lo que ocurre con la tasa de interés) y (ii) la persona interesada en un crédito tendría que efectuar una serie de cálculos y análisi</w:t>
      </w:r>
      <w:r w:rsidRPr="00862128">
        <w:rPr>
          <w:rFonts w:ascii="Times New Roman" w:hAnsi="Times New Roman"/>
          <w:sz w:val="28"/>
          <w:szCs w:val="28"/>
        </w:rPr>
        <w:t>s particulares para comparar ofertas provenientes de entidades o personas de los dos grupos comparables. No obstante, el consumidor financiero promedio no tiene tiempo ni conocimiento para realizarlos de forma adecuada, pues se requiere pericia en la mater</w:t>
      </w:r>
      <w:r w:rsidRPr="00862128">
        <w:rPr>
          <w:rFonts w:ascii="Times New Roman" w:hAnsi="Times New Roman"/>
          <w:sz w:val="28"/>
          <w:szCs w:val="28"/>
        </w:rPr>
        <w:t>ia.</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Tanto la superación de los límites legales de interés como las asimetrías en términos de información, argumenta el demandante, generan barreras frente al acceso al crédito y lo hacen más oneroso. Así, insiste el accionante, existe una discrepancia ent</w:t>
      </w:r>
      <w:r w:rsidRPr="00862128">
        <w:rPr>
          <w:rFonts w:ascii="Times New Roman" w:hAnsi="Times New Roman"/>
          <w:sz w:val="28"/>
          <w:szCs w:val="28"/>
        </w:rPr>
        <w:t>re la norma acusada y el primer inciso del mismo parágrafo 3 del artículo 45 de la Ley 1480 de 2011, que establece que “se reputarán como intereses todos los cargos por concepto de uso de tecnología”. Tal inconsistencia genera una violación a la protección</w:t>
      </w:r>
      <w:r w:rsidRPr="00862128">
        <w:rPr>
          <w:rFonts w:ascii="Times New Roman" w:hAnsi="Times New Roman"/>
          <w:sz w:val="28"/>
          <w:szCs w:val="28"/>
        </w:rPr>
        <w:t xml:space="preserve"> al consumidor, que es, de acuerdo con el título de la Ley 2439 de 2024, que adicionó la disposición demandada a la Ley 1480 de 2011, su objeto.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Mediante Auto de 24 de junio de 2025, la magistrada sustanciadora concluyó que el escrito de corrección subsa</w:t>
      </w:r>
      <w:r w:rsidRPr="00862128">
        <w:rPr>
          <w:rFonts w:ascii="Times New Roman" w:hAnsi="Times New Roman"/>
          <w:sz w:val="28"/>
          <w:szCs w:val="28"/>
        </w:rPr>
        <w:t>n</w:t>
      </w:r>
      <w:r w:rsidRPr="00862128">
        <w:rPr>
          <w:rFonts w:ascii="Times New Roman" w:hAnsi="Times New Roman"/>
          <w:sz w:val="28"/>
          <w:szCs w:val="28"/>
        </w:rPr>
        <w:t>ó</w:t>
      </w:r>
      <w:r w:rsidRPr="00862128">
        <w:rPr>
          <w:rFonts w:ascii="Times New Roman" w:hAnsi="Times New Roman"/>
          <w:sz w:val="28"/>
          <w:szCs w:val="28"/>
        </w:rPr>
        <w:t xml:space="preserve"> las falencias identificadas al inadmitir la demanda. Las razones por las que el actor considera que la norma acusada es inconstitucional son comprensibles, al igual que el hilo de la argumentación, razón por la cual habilitan un debate constitucional.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Tras la corrección de la demanda, el accionante identificó adecuadamente el contenido normativo que considera incompatible con la Constitución: la expresión “firma electrónica” contenida en el inciso tercero del parágrafo 3 del artículo 45 de la Ley 1480 </w:t>
      </w:r>
      <w:r w:rsidRPr="00862128">
        <w:rPr>
          <w:rFonts w:ascii="Times New Roman" w:hAnsi="Times New Roman"/>
          <w:sz w:val="28"/>
          <w:szCs w:val="28"/>
        </w:rPr>
        <w:t>de 2011, después de la adición efectuada por la Ley 2439 de 2024.</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Igualmente, el actor identificó, dada la naturaleza de su cuestionamiento, (i) los grupos que, en su criterio, son comparables; (ii) el trato diferencial que el ordenamiento jurídico prevé,</w:t>
      </w:r>
      <w:r w:rsidRPr="00862128">
        <w:rPr>
          <w:rFonts w:ascii="Times New Roman" w:hAnsi="Times New Roman"/>
          <w:sz w:val="28"/>
          <w:szCs w:val="28"/>
        </w:rPr>
        <w:t xml:space="preserve"> y (iii) las razones por las que considera que el trato es injustificado. En concreto, como se ha sintetizado en esta providencia y en el Auto del 3 de junio del presente año, mediante el cual se inadmitió inicialmente la demanda, el ciudadano estima que e</w:t>
      </w:r>
      <w:r w:rsidRPr="00862128">
        <w:rPr>
          <w:rFonts w:ascii="Times New Roman" w:hAnsi="Times New Roman"/>
          <w:sz w:val="28"/>
          <w:szCs w:val="28"/>
        </w:rPr>
        <w:t xml:space="preserve">l tratamiento diferenciado que la norma genera viola, además del principio de igualdad, la libre competencia y las normas que protegen a los consumidores.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De acuerdo con su argumento, la Corte Constitucional ha considerado irrelevante el criterio en el q</w:t>
      </w:r>
      <w:r w:rsidRPr="00862128">
        <w:rPr>
          <w:rFonts w:ascii="Times New Roman" w:hAnsi="Times New Roman"/>
          <w:sz w:val="28"/>
          <w:szCs w:val="28"/>
        </w:rPr>
        <w:t>ue se basa la distinción, es decir, el régimen de vigilancia administrativa. En este caso, de acuerdo con el actor, el tratamiento diferenciado se materializa en la manera como deben computar los intereses las personas naturales y jurídicas que ofrecen cré</w:t>
      </w:r>
      <w:r w:rsidRPr="00862128">
        <w:rPr>
          <w:rFonts w:ascii="Times New Roman" w:hAnsi="Times New Roman"/>
          <w:sz w:val="28"/>
          <w:szCs w:val="28"/>
        </w:rPr>
        <w:t xml:space="preserve">ditos por mecanismos electrónicos que son vigiladas por la Superintendencia Financiera, por un lado, y aquellas que no están sometidas a control y vigilancia de una autoridad administrativa en particular, por otro.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El demandante plantea, de igual maner</w:t>
      </w:r>
      <w:r w:rsidRPr="00862128">
        <w:rPr>
          <w:rFonts w:ascii="Times New Roman" w:hAnsi="Times New Roman"/>
          <w:sz w:val="28"/>
          <w:szCs w:val="28"/>
        </w:rPr>
        <w:t xml:space="preserve">a, un problema de naturaleza constitucional, en el cual están de por medio la vigencia de los principios y derechos constitucionales ya mencionados. </w:t>
      </w:r>
    </w:p>
    <w:p w:rsidR="00800272" w:rsidRPr="00862128" w:rsidRDefault="00862128" w:rsidP="00BE5143">
      <w:pPr>
        <w:pStyle w:val="Prrafodelista"/>
        <w:rPr>
          <w:rFonts w:ascii="Times New Roman" w:hAnsi="Times New Roman"/>
          <w:sz w:val="28"/>
          <w:szCs w:val="28"/>
        </w:rPr>
      </w:pPr>
    </w:p>
    <w:p w:rsidR="00800272"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Así las cosas, el despacho sustanciador decidió admitir la demanda y ordenó lo siguiente: (i) </w:t>
      </w:r>
      <w:r w:rsidRPr="00862128">
        <w:rPr>
          <w:rFonts w:ascii="Times New Roman" w:hAnsi="Times New Roman"/>
          <w:sz w:val="28"/>
          <w:szCs w:val="28"/>
        </w:rPr>
        <w:t>c</w:t>
      </w:r>
      <w:r w:rsidRPr="00862128">
        <w:rPr>
          <w:rFonts w:ascii="Times New Roman" w:hAnsi="Times New Roman"/>
          <w:sz w:val="28"/>
          <w:szCs w:val="28"/>
        </w:rPr>
        <w:t>orrer tras</w:t>
      </w:r>
      <w:r w:rsidRPr="00862128">
        <w:rPr>
          <w:rFonts w:ascii="Times New Roman" w:hAnsi="Times New Roman"/>
          <w:sz w:val="28"/>
          <w:szCs w:val="28"/>
        </w:rPr>
        <w:t xml:space="preserve">lado al Procurador General de la Nación por el lapso de treinta (30) días, para que rinda el concepto previsto en el </w:t>
      </w:r>
      <w:r w:rsidRPr="00862128">
        <w:rPr>
          <w:rFonts w:ascii="Times New Roman" w:hAnsi="Times New Roman"/>
          <w:sz w:val="28"/>
          <w:szCs w:val="28"/>
        </w:rPr>
        <w:t>numera</w:t>
      </w:r>
      <w:r w:rsidRPr="00862128">
        <w:rPr>
          <w:rFonts w:ascii="Times New Roman" w:hAnsi="Times New Roman"/>
          <w:sz w:val="28"/>
          <w:szCs w:val="28"/>
        </w:rPr>
        <w:t>l</w:t>
      </w:r>
      <w:r w:rsidRPr="00862128">
        <w:rPr>
          <w:rFonts w:ascii="Times New Roman" w:hAnsi="Times New Roman"/>
          <w:sz w:val="28"/>
          <w:szCs w:val="28"/>
        </w:rPr>
        <w:t xml:space="preserve"> 5 del </w:t>
      </w:r>
      <w:r w:rsidRPr="00862128">
        <w:rPr>
          <w:rFonts w:ascii="Times New Roman" w:hAnsi="Times New Roman"/>
          <w:sz w:val="28"/>
          <w:szCs w:val="28"/>
        </w:rPr>
        <w:t>artículo 278</w:t>
      </w:r>
      <w:r w:rsidRPr="00862128">
        <w:rPr>
          <w:rFonts w:ascii="Times New Roman" w:hAnsi="Times New Roman"/>
          <w:sz w:val="28"/>
          <w:szCs w:val="28"/>
        </w:rPr>
        <w:t xml:space="preserve"> </w:t>
      </w:r>
      <w:r w:rsidRPr="00862128">
        <w:rPr>
          <w:rFonts w:ascii="Times New Roman" w:hAnsi="Times New Roman"/>
          <w:sz w:val="28"/>
          <w:szCs w:val="28"/>
        </w:rPr>
        <w:t xml:space="preserve">de la Constitución Política; (ii) </w:t>
      </w:r>
      <w:r w:rsidRPr="00862128">
        <w:rPr>
          <w:rFonts w:ascii="Times New Roman" w:hAnsi="Times New Roman"/>
          <w:sz w:val="28"/>
          <w:szCs w:val="28"/>
        </w:rPr>
        <w:t>f</w:t>
      </w:r>
      <w:r w:rsidRPr="00862128">
        <w:rPr>
          <w:rFonts w:ascii="Times New Roman" w:hAnsi="Times New Roman"/>
          <w:sz w:val="28"/>
          <w:szCs w:val="28"/>
        </w:rPr>
        <w:t>ijar en lista la disposición acusada por el término de diez (10) días, con el</w:t>
      </w:r>
      <w:r w:rsidRPr="00862128">
        <w:rPr>
          <w:rFonts w:ascii="Times New Roman" w:hAnsi="Times New Roman"/>
          <w:sz w:val="28"/>
          <w:szCs w:val="28"/>
        </w:rPr>
        <w:t xml:space="preserve"> objeto de que cualquier ciudadano o ciudadana la impugne o defienda; (iii) comunicar la iniciación del presente proceso al Presidente de la República y al Presidente del Congreso, para los fines del artículo 244 de la Constitución Política; así como a la </w:t>
      </w:r>
      <w:r w:rsidRPr="00862128">
        <w:rPr>
          <w:rFonts w:ascii="Times New Roman" w:hAnsi="Times New Roman"/>
          <w:sz w:val="28"/>
          <w:szCs w:val="28"/>
        </w:rPr>
        <w:t>Superintenden</w:t>
      </w:r>
      <w:r w:rsidRPr="00862128">
        <w:rPr>
          <w:rFonts w:ascii="Times New Roman" w:hAnsi="Times New Roman"/>
          <w:sz w:val="28"/>
          <w:szCs w:val="28"/>
        </w:rPr>
        <w:t>cia</w:t>
      </w:r>
      <w:r w:rsidRPr="00862128">
        <w:rPr>
          <w:rFonts w:ascii="Times New Roman" w:hAnsi="Times New Roman"/>
          <w:sz w:val="28"/>
          <w:szCs w:val="28"/>
        </w:rPr>
        <w:t xml:space="preserve"> de Industria y Comercio y a</w:t>
      </w:r>
      <w:r w:rsidRPr="00862128">
        <w:rPr>
          <w:rFonts w:ascii="Times New Roman" w:hAnsi="Times New Roman"/>
          <w:sz w:val="28"/>
          <w:szCs w:val="28"/>
        </w:rPr>
        <w:t>l</w:t>
      </w:r>
      <w:r w:rsidRPr="00862128">
        <w:rPr>
          <w:rFonts w:ascii="Times New Roman" w:hAnsi="Times New Roman"/>
          <w:sz w:val="28"/>
          <w:szCs w:val="28"/>
        </w:rPr>
        <w:t xml:space="preserve"> Minist</w:t>
      </w:r>
      <w:r w:rsidRPr="00862128">
        <w:rPr>
          <w:rFonts w:ascii="Times New Roman" w:hAnsi="Times New Roman"/>
          <w:sz w:val="28"/>
          <w:szCs w:val="28"/>
        </w:rPr>
        <w:t>e</w:t>
      </w:r>
      <w:r w:rsidRPr="00862128">
        <w:rPr>
          <w:rFonts w:ascii="Times New Roman" w:hAnsi="Times New Roman"/>
          <w:sz w:val="28"/>
          <w:szCs w:val="28"/>
        </w:rPr>
        <w:t>r</w:t>
      </w:r>
      <w:r w:rsidRPr="00862128">
        <w:rPr>
          <w:rFonts w:ascii="Times New Roman" w:hAnsi="Times New Roman"/>
          <w:sz w:val="28"/>
          <w:szCs w:val="28"/>
        </w:rPr>
        <w:t>io</w:t>
      </w:r>
      <w:r w:rsidRPr="00862128">
        <w:rPr>
          <w:rFonts w:ascii="Times New Roman" w:hAnsi="Times New Roman"/>
          <w:sz w:val="28"/>
          <w:szCs w:val="28"/>
        </w:rPr>
        <w:t xml:space="preserve"> de Comercio, Industria y Turismo. Esto, para los efectos señalados en el artículo 11 del Decreto 2067 de 1991 </w:t>
      </w:r>
      <w:r w:rsidRPr="00862128">
        <w:rPr>
          <w:rFonts w:ascii="Times New Roman" w:hAnsi="Times New Roman"/>
          <w:sz w:val="28"/>
          <w:szCs w:val="28"/>
        </w:rPr>
        <w:t>e</w:t>
      </w:r>
      <w:r w:rsidRPr="00862128">
        <w:rPr>
          <w:rFonts w:ascii="Times New Roman" w:hAnsi="Times New Roman"/>
          <w:sz w:val="28"/>
          <w:szCs w:val="28"/>
        </w:rPr>
        <w:t xml:space="preserve"> (iv) invitar</w:t>
      </w:r>
      <w:r w:rsidRPr="00862128">
        <w:rPr>
          <w:rFonts w:ascii="Times New Roman" w:hAnsi="Times New Roman"/>
          <w:b/>
          <w:bCs/>
          <w:sz w:val="28"/>
          <w:szCs w:val="28"/>
        </w:rPr>
        <w:t xml:space="preserve"> </w:t>
      </w:r>
      <w:r w:rsidRPr="00862128">
        <w:rPr>
          <w:rFonts w:ascii="Times New Roman" w:hAnsi="Times New Roman"/>
          <w:sz w:val="28"/>
          <w:szCs w:val="28"/>
        </w:rPr>
        <w:t>a participar a las siguientes instituciones u organizaciones, con el objet</w:t>
      </w:r>
      <w:r w:rsidRPr="00862128">
        <w:rPr>
          <w:rFonts w:ascii="Times New Roman" w:hAnsi="Times New Roman"/>
          <w:sz w:val="28"/>
          <w:szCs w:val="28"/>
        </w:rPr>
        <w:t xml:space="preserve">o de que, si lo consideran y en el término de diez (10) días, emitan concepto sobre la norma demandada, de conformidad con lo previsto en el artículo 13 del Decreto 2067 de 1991: </w:t>
      </w:r>
      <w:r w:rsidRPr="00862128">
        <w:rPr>
          <w:rFonts w:ascii="Times New Roman" w:eastAsia="Calibri" w:hAnsi="Times New Roman"/>
          <w:sz w:val="28"/>
          <w:szCs w:val="28"/>
          <w:lang w:val="es-ES"/>
        </w:rPr>
        <w:t>Superintendencia Financiera de Colombia; Banco de la República; Asociación Co</w:t>
      </w:r>
      <w:r w:rsidRPr="00862128">
        <w:rPr>
          <w:rFonts w:ascii="Times New Roman" w:eastAsia="Calibri" w:hAnsi="Times New Roman"/>
          <w:sz w:val="28"/>
          <w:szCs w:val="28"/>
          <w:lang w:val="es-ES"/>
        </w:rPr>
        <w:t xml:space="preserve">lombiana de Empresas de Tecnología e Innovación Financiera (Colombia Fintech); Asociación Bancaria y de Entidades Financieras de Colombia (Asobancaria); Universidad Nacional de Colombia, Observatorio de Derecho Financiero y Bursátil; Universidad Externado </w:t>
      </w:r>
      <w:r w:rsidRPr="00862128">
        <w:rPr>
          <w:rFonts w:ascii="Times New Roman" w:eastAsia="Calibri" w:hAnsi="Times New Roman"/>
          <w:sz w:val="28"/>
          <w:szCs w:val="28"/>
          <w:lang w:val="es-ES"/>
        </w:rPr>
        <w:t>de Colombia, Departamento de Derecho Financiero y Bursátil; Universidad de los Andes, Semillero de Investigación en Derecho Bancario, Financiero y Mercado de Capitales y Pontificia Universidad Javeriana, Semillero de Investigación en Derecho Económico y De</w:t>
      </w:r>
      <w:r w:rsidRPr="00862128">
        <w:rPr>
          <w:rFonts w:ascii="Times New Roman" w:eastAsia="Calibri" w:hAnsi="Times New Roman"/>
          <w:sz w:val="28"/>
          <w:szCs w:val="28"/>
          <w:lang w:val="es-ES"/>
        </w:rPr>
        <w:t>recho de Competencia</w:t>
      </w:r>
      <w:r w:rsidRPr="00862128">
        <w:rPr>
          <w:rFonts w:ascii="Times New Roman" w:hAnsi="Times New Roman"/>
          <w:sz w:val="28"/>
          <w:szCs w:val="28"/>
        </w:rPr>
        <w:t>.</w:t>
      </w:r>
    </w:p>
    <w:p w:rsidR="00153D47" w:rsidRPr="00862128" w:rsidRDefault="00862128" w:rsidP="00BE5143">
      <w:pPr>
        <w:pStyle w:val="Prrafodelista"/>
        <w:tabs>
          <w:tab w:val="left" w:pos="426"/>
        </w:tabs>
        <w:ind w:left="0"/>
        <w:jc w:val="both"/>
        <w:rPr>
          <w:rFonts w:ascii="Times New Roman" w:hAnsi="Times New Roman"/>
          <w:sz w:val="28"/>
          <w:szCs w:val="28"/>
        </w:rPr>
      </w:pPr>
    </w:p>
    <w:p w:rsidR="008B5E91" w:rsidRPr="00862128" w:rsidRDefault="00862128" w:rsidP="00BE5143">
      <w:pPr>
        <w:pStyle w:val="Ttulo3"/>
        <w:spacing w:before="0" w:after="0"/>
        <w:rPr>
          <w:rFonts w:ascii="Times New Roman" w:hAnsi="Times New Roman"/>
          <w:b/>
          <w:bCs/>
          <w:color w:val="auto"/>
        </w:rPr>
      </w:pPr>
      <w:bookmarkStart w:id="11" w:name="_Toc223713275"/>
      <w:r w:rsidRPr="00862128">
        <w:rPr>
          <w:rFonts w:ascii="Times New Roman" w:hAnsi="Times New Roman"/>
          <w:b/>
          <w:bCs/>
          <w:color w:val="auto"/>
        </w:rPr>
        <w:t>4. Intervenciones</w:t>
      </w:r>
      <w:bookmarkEnd w:id="11"/>
      <w:r w:rsidRPr="00862128">
        <w:rPr>
          <w:rFonts w:ascii="Times New Roman" w:hAnsi="Times New Roman"/>
          <w:b/>
          <w:bCs/>
          <w:color w:val="auto"/>
        </w:rPr>
        <w:t xml:space="preserve"> </w:t>
      </w:r>
    </w:p>
    <w:p w:rsidR="008B5E91" w:rsidRPr="00862128" w:rsidRDefault="00862128" w:rsidP="00BE5143">
      <w:pPr>
        <w:pStyle w:val="Prrafodelista"/>
        <w:tabs>
          <w:tab w:val="left" w:pos="426"/>
        </w:tabs>
        <w:ind w:left="0"/>
        <w:jc w:val="both"/>
        <w:rPr>
          <w:rFonts w:ascii="Times New Roman" w:hAnsi="Times New Roman"/>
          <w:b/>
          <w:bCs/>
          <w:sz w:val="28"/>
          <w:szCs w:val="28"/>
        </w:rPr>
      </w:pPr>
    </w:p>
    <w:p w:rsidR="00363A75" w:rsidRPr="00862128" w:rsidRDefault="00862128" w:rsidP="00BE5143">
      <w:pPr>
        <w:pStyle w:val="Prrafodelista"/>
        <w:numPr>
          <w:ilvl w:val="0"/>
          <w:numId w:val="4"/>
        </w:numPr>
        <w:tabs>
          <w:tab w:val="left" w:pos="567"/>
        </w:tabs>
        <w:ind w:left="0" w:firstLine="0"/>
        <w:jc w:val="both"/>
        <w:rPr>
          <w:rFonts w:ascii="Times New Roman" w:hAnsi="Times New Roman"/>
          <w:bCs/>
          <w:sz w:val="28"/>
          <w:szCs w:val="28"/>
        </w:rPr>
      </w:pPr>
      <w:r w:rsidRPr="00862128">
        <w:rPr>
          <w:rFonts w:ascii="Times New Roman" w:hAnsi="Times New Roman"/>
          <w:sz w:val="28"/>
          <w:szCs w:val="28"/>
        </w:rPr>
        <w:t>D</w:t>
      </w:r>
      <w:r w:rsidRPr="00862128">
        <w:rPr>
          <w:rFonts w:ascii="Times New Roman" w:hAnsi="Times New Roman"/>
          <w:sz w:val="28"/>
          <w:szCs w:val="28"/>
        </w:rPr>
        <w:t xml:space="preserve">entro del término otorgado para intervenir en el presente proceso de </w:t>
      </w:r>
      <w:r w:rsidRPr="00862128">
        <w:rPr>
          <w:rFonts w:ascii="Times New Roman" w:hAnsi="Times New Roman"/>
          <w:sz w:val="28"/>
          <w:szCs w:val="28"/>
        </w:rPr>
        <w:t xml:space="preserve">constitucionalidad se recibieron </w:t>
      </w:r>
      <w:r w:rsidRPr="00862128">
        <w:rPr>
          <w:rFonts w:ascii="Times New Roman" w:hAnsi="Times New Roman"/>
          <w:sz w:val="28"/>
          <w:szCs w:val="28"/>
        </w:rPr>
        <w:t xml:space="preserve">opiniones de diferentes entidades públicas, organizaciones y de la ciudadanía, las cuales se </w:t>
      </w:r>
      <w:r w:rsidRPr="00862128">
        <w:rPr>
          <w:rFonts w:ascii="Times New Roman" w:hAnsi="Times New Roman"/>
          <w:sz w:val="28"/>
          <w:szCs w:val="28"/>
        </w:rPr>
        <w:t xml:space="preserve">sintetizan en la siguiente tabla: </w:t>
      </w:r>
    </w:p>
    <w:p w:rsidR="00153D47" w:rsidRPr="00862128" w:rsidRDefault="00862128" w:rsidP="00BE5143">
      <w:pPr>
        <w:pStyle w:val="Prrafodelista"/>
        <w:tabs>
          <w:tab w:val="left" w:pos="567"/>
        </w:tabs>
        <w:ind w:left="0"/>
        <w:jc w:val="both"/>
        <w:rPr>
          <w:rFonts w:ascii="Times New Roman" w:hAnsi="Times New Roman"/>
          <w:bCs/>
          <w:sz w:val="28"/>
          <w:szCs w:val="28"/>
        </w:rPr>
      </w:pPr>
    </w:p>
    <w:tbl>
      <w:tblPr>
        <w:tblW w:w="8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2268"/>
        <w:gridCol w:w="2373"/>
        <w:gridCol w:w="2021"/>
      </w:tblGrid>
      <w:tr w:rsidR="00862128" w:rsidRPr="00862128" w:rsidTr="00862128">
        <w:trPr>
          <w:tblHeader/>
          <w:jc w:val="center"/>
        </w:trPr>
        <w:tc>
          <w:tcPr>
            <w:tcW w:w="2268" w:type="dxa"/>
            <w:shd w:val="clear" w:color="auto" w:fill="auto"/>
          </w:tcPr>
          <w:p w:rsidR="00251D73" w:rsidRPr="00862128" w:rsidRDefault="00862128" w:rsidP="00862128">
            <w:pPr>
              <w:spacing w:after="0" w:line="240" w:lineRule="auto"/>
              <w:jc w:val="center"/>
              <w:rPr>
                <w:rFonts w:ascii="Times New Roman" w:hAnsi="Times New Roman"/>
                <w:b/>
                <w:bCs/>
                <w:iCs/>
                <w:sz w:val="28"/>
                <w:szCs w:val="26"/>
              </w:rPr>
            </w:pPr>
            <w:r w:rsidRPr="00862128">
              <w:rPr>
                <w:rFonts w:ascii="Times New Roman" w:hAnsi="Times New Roman"/>
                <w:b/>
                <w:bCs/>
                <w:iCs/>
                <w:sz w:val="28"/>
                <w:szCs w:val="26"/>
              </w:rPr>
              <w:t xml:space="preserve">Tipo de participación </w:t>
            </w:r>
          </w:p>
        </w:tc>
        <w:tc>
          <w:tcPr>
            <w:tcW w:w="2268" w:type="dxa"/>
            <w:shd w:val="clear" w:color="auto" w:fill="auto"/>
            <w:vAlign w:val="center"/>
          </w:tcPr>
          <w:p w:rsidR="00EF1FD8" w:rsidRPr="00862128" w:rsidRDefault="00862128" w:rsidP="00862128">
            <w:pPr>
              <w:spacing w:after="0" w:line="240" w:lineRule="auto"/>
              <w:jc w:val="center"/>
              <w:rPr>
                <w:rFonts w:ascii="Times New Roman" w:hAnsi="Times New Roman"/>
                <w:b/>
                <w:bCs/>
                <w:iCs/>
                <w:sz w:val="28"/>
                <w:szCs w:val="26"/>
              </w:rPr>
            </w:pPr>
            <w:r w:rsidRPr="00862128">
              <w:rPr>
                <w:rFonts w:ascii="Times New Roman" w:hAnsi="Times New Roman"/>
                <w:b/>
                <w:bCs/>
                <w:iCs/>
                <w:sz w:val="28"/>
                <w:szCs w:val="26"/>
              </w:rPr>
              <w:t>Exequibilidad</w:t>
            </w:r>
            <w:r w:rsidRPr="00862128">
              <w:rPr>
                <w:rFonts w:ascii="Times New Roman" w:hAnsi="Times New Roman"/>
                <w:b/>
                <w:bCs/>
                <w:iCs/>
                <w:sz w:val="28"/>
                <w:szCs w:val="26"/>
              </w:rPr>
              <w:t>/</w:t>
            </w:r>
          </w:p>
          <w:p w:rsidR="00251D73" w:rsidRPr="00862128" w:rsidRDefault="00862128" w:rsidP="00862128">
            <w:pPr>
              <w:spacing w:after="0" w:line="240" w:lineRule="auto"/>
              <w:jc w:val="center"/>
              <w:rPr>
                <w:rFonts w:ascii="Times New Roman" w:hAnsi="Times New Roman"/>
                <w:b/>
                <w:bCs/>
                <w:iCs/>
                <w:sz w:val="28"/>
                <w:szCs w:val="26"/>
              </w:rPr>
            </w:pPr>
            <w:r w:rsidRPr="00862128">
              <w:rPr>
                <w:rFonts w:ascii="Times New Roman" w:hAnsi="Times New Roman"/>
                <w:b/>
                <w:bCs/>
                <w:iCs/>
                <w:sz w:val="28"/>
                <w:szCs w:val="26"/>
              </w:rPr>
              <w:t>Inhibitorio</w:t>
            </w:r>
          </w:p>
        </w:tc>
        <w:tc>
          <w:tcPr>
            <w:tcW w:w="2373" w:type="dxa"/>
            <w:shd w:val="clear" w:color="auto" w:fill="auto"/>
          </w:tcPr>
          <w:p w:rsidR="00251D73" w:rsidRPr="00862128" w:rsidRDefault="00862128" w:rsidP="00862128">
            <w:pPr>
              <w:spacing w:after="0" w:line="240" w:lineRule="auto"/>
              <w:jc w:val="center"/>
              <w:rPr>
                <w:rFonts w:ascii="Times New Roman" w:hAnsi="Times New Roman"/>
                <w:b/>
                <w:bCs/>
                <w:iCs/>
                <w:sz w:val="28"/>
                <w:szCs w:val="26"/>
              </w:rPr>
            </w:pPr>
            <w:r w:rsidRPr="00862128">
              <w:rPr>
                <w:rFonts w:ascii="Times New Roman" w:hAnsi="Times New Roman"/>
                <w:b/>
                <w:bCs/>
                <w:iCs/>
                <w:sz w:val="28"/>
                <w:szCs w:val="26"/>
              </w:rPr>
              <w:t>Inexequibilidad</w:t>
            </w:r>
          </w:p>
        </w:tc>
        <w:tc>
          <w:tcPr>
            <w:tcW w:w="2021" w:type="dxa"/>
            <w:shd w:val="clear" w:color="auto" w:fill="auto"/>
          </w:tcPr>
          <w:p w:rsidR="00251D73" w:rsidRPr="00862128" w:rsidRDefault="00862128" w:rsidP="00862128">
            <w:pPr>
              <w:spacing w:after="0" w:line="240" w:lineRule="auto"/>
              <w:jc w:val="center"/>
              <w:rPr>
                <w:rFonts w:ascii="Times New Roman" w:hAnsi="Times New Roman"/>
                <w:b/>
                <w:bCs/>
                <w:iCs/>
                <w:sz w:val="28"/>
                <w:szCs w:val="26"/>
              </w:rPr>
            </w:pPr>
            <w:r w:rsidRPr="00862128">
              <w:rPr>
                <w:rFonts w:ascii="Times New Roman" w:hAnsi="Times New Roman"/>
                <w:b/>
                <w:bCs/>
                <w:iCs/>
                <w:sz w:val="28"/>
                <w:szCs w:val="26"/>
              </w:rPr>
              <w:t xml:space="preserve">No fijó posición </w:t>
            </w:r>
          </w:p>
        </w:tc>
      </w:tr>
      <w:tr w:rsidR="00862128" w:rsidRPr="00862128" w:rsidTr="00862128">
        <w:trPr>
          <w:jc w:val="center"/>
        </w:trPr>
        <w:tc>
          <w:tcPr>
            <w:tcW w:w="2268"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sz w:val="28"/>
                <w:szCs w:val="24"/>
              </w:rPr>
              <w:t xml:space="preserve">Conceptos de organismos y entidades del Estado </w:t>
            </w:r>
            <w:r w:rsidRPr="00862128">
              <w:rPr>
                <w:rStyle w:val="Ttulo1Car"/>
                <w:rFonts w:ascii="Times New Roman" w:hAnsi="Times New Roman"/>
                <w:color w:val="auto"/>
                <w:sz w:val="28"/>
                <w:szCs w:val="24"/>
              </w:rPr>
              <w:t>(artículo 11 del Decreto 2067 de 1991)</w:t>
            </w:r>
            <w:r w:rsidRPr="00862128">
              <w:rPr>
                <w:rStyle w:val="Refdenotaalpie"/>
                <w:rFonts w:ascii="Times New Roman" w:hAnsi="Times New Roman"/>
                <w:sz w:val="28"/>
                <w:szCs w:val="24"/>
              </w:rPr>
              <w:footnoteReference w:id="24"/>
            </w:r>
          </w:p>
        </w:tc>
        <w:tc>
          <w:tcPr>
            <w:tcW w:w="2268" w:type="dxa"/>
            <w:shd w:val="clear" w:color="auto" w:fill="auto"/>
            <w:vAlign w:val="center"/>
          </w:tcPr>
          <w:p w:rsidR="00251D73" w:rsidRPr="00862128" w:rsidRDefault="00862128" w:rsidP="00862128">
            <w:pPr>
              <w:spacing w:after="0" w:line="240" w:lineRule="auto"/>
              <w:jc w:val="center"/>
              <w:rPr>
                <w:rFonts w:ascii="Times New Roman" w:hAnsi="Times New Roman"/>
                <w:bCs/>
                <w:sz w:val="28"/>
                <w:szCs w:val="24"/>
              </w:rPr>
            </w:pPr>
          </w:p>
        </w:tc>
        <w:tc>
          <w:tcPr>
            <w:tcW w:w="2373" w:type="dxa"/>
            <w:shd w:val="clear" w:color="auto" w:fill="auto"/>
          </w:tcPr>
          <w:p w:rsidR="003C2F9D"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bCs/>
                <w:sz w:val="28"/>
                <w:szCs w:val="24"/>
              </w:rPr>
              <w:t>Superintendencia de Industria y Comercio</w:t>
            </w:r>
          </w:p>
          <w:p w:rsidR="003C2F9D" w:rsidRPr="00862128" w:rsidRDefault="00862128" w:rsidP="00862128">
            <w:pPr>
              <w:spacing w:after="0" w:line="240" w:lineRule="auto"/>
              <w:jc w:val="center"/>
              <w:rPr>
                <w:rFonts w:ascii="Times New Roman" w:hAnsi="Times New Roman"/>
                <w:bCs/>
                <w:sz w:val="28"/>
                <w:szCs w:val="24"/>
              </w:rPr>
            </w:pPr>
          </w:p>
        </w:tc>
        <w:tc>
          <w:tcPr>
            <w:tcW w:w="2021"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bCs/>
                <w:sz w:val="28"/>
                <w:szCs w:val="24"/>
              </w:rPr>
              <w:t>Superintendencia Financiera de Colombia</w:t>
            </w:r>
          </w:p>
        </w:tc>
      </w:tr>
      <w:tr w:rsidR="00862128" w:rsidRPr="00862128" w:rsidTr="00862128">
        <w:trPr>
          <w:jc w:val="center"/>
        </w:trPr>
        <w:tc>
          <w:tcPr>
            <w:tcW w:w="2268"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sz w:val="28"/>
                <w:szCs w:val="24"/>
              </w:rPr>
              <w:t>Conceptos de organizaciones, entidades y expertos invitados (artículo 13 del Decreto 2067 de 1991)</w:t>
            </w:r>
            <w:r w:rsidRPr="00862128">
              <w:rPr>
                <w:rStyle w:val="Refdenotaalpie"/>
                <w:rFonts w:ascii="Times New Roman" w:hAnsi="Times New Roman"/>
                <w:sz w:val="28"/>
                <w:szCs w:val="24"/>
                <w:shd w:val="clear" w:color="auto" w:fill="FFFFFF"/>
              </w:rPr>
              <w:footnoteReference w:id="25"/>
            </w:r>
          </w:p>
        </w:tc>
        <w:tc>
          <w:tcPr>
            <w:tcW w:w="2268" w:type="dxa"/>
            <w:shd w:val="clear" w:color="auto" w:fill="auto"/>
            <w:vAlign w:val="center"/>
          </w:tcPr>
          <w:p w:rsidR="00251D73"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sz w:val="28"/>
                <w:szCs w:val="24"/>
              </w:rPr>
              <w:t xml:space="preserve">Asociación Colombiana de Empresas de Tecnología e Innovación Financiera </w:t>
            </w:r>
            <w:r w:rsidRPr="00862128">
              <w:rPr>
                <w:rFonts w:ascii="Times New Roman" w:hAnsi="Times New Roman"/>
                <w:sz w:val="28"/>
                <w:szCs w:val="24"/>
              </w:rPr>
              <w:t>(</w:t>
            </w:r>
            <w:r w:rsidRPr="00862128">
              <w:rPr>
                <w:rFonts w:ascii="Times New Roman" w:hAnsi="Times New Roman"/>
                <w:sz w:val="28"/>
                <w:szCs w:val="24"/>
              </w:rPr>
              <w:t>Colombia Fintech</w:t>
            </w:r>
            <w:r w:rsidRPr="00862128">
              <w:rPr>
                <w:rFonts w:ascii="Times New Roman" w:hAnsi="Times New Roman"/>
                <w:sz w:val="28"/>
                <w:szCs w:val="24"/>
              </w:rPr>
              <w:t>)</w:t>
            </w:r>
          </w:p>
        </w:tc>
        <w:tc>
          <w:tcPr>
            <w:tcW w:w="2373" w:type="dxa"/>
            <w:shd w:val="clear" w:color="auto" w:fill="auto"/>
          </w:tcPr>
          <w:p w:rsidR="003C2F9D"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sz w:val="28"/>
                <w:szCs w:val="24"/>
              </w:rPr>
              <w:t xml:space="preserve">Asociación Bancaria y de Entidades Financieras de Colombia </w:t>
            </w:r>
            <w:r w:rsidRPr="00862128">
              <w:rPr>
                <w:rFonts w:ascii="Times New Roman" w:hAnsi="Times New Roman"/>
                <w:sz w:val="28"/>
                <w:szCs w:val="24"/>
              </w:rPr>
              <w:t>(</w:t>
            </w:r>
            <w:r w:rsidRPr="00862128">
              <w:rPr>
                <w:rFonts w:ascii="Times New Roman" w:hAnsi="Times New Roman"/>
                <w:bCs/>
                <w:sz w:val="28"/>
                <w:szCs w:val="24"/>
              </w:rPr>
              <w:t>Asobancaria</w:t>
            </w:r>
            <w:r w:rsidRPr="00862128">
              <w:rPr>
                <w:rFonts w:ascii="Times New Roman" w:hAnsi="Times New Roman"/>
                <w:bCs/>
                <w:sz w:val="28"/>
                <w:szCs w:val="24"/>
              </w:rPr>
              <w:t>)</w:t>
            </w:r>
          </w:p>
        </w:tc>
        <w:tc>
          <w:tcPr>
            <w:tcW w:w="2021"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p>
        </w:tc>
      </w:tr>
      <w:tr w:rsidR="00862128" w:rsidRPr="00862128" w:rsidTr="00862128">
        <w:trPr>
          <w:jc w:val="center"/>
        </w:trPr>
        <w:tc>
          <w:tcPr>
            <w:tcW w:w="2268"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r w:rsidRPr="00862128">
              <w:rPr>
                <w:rFonts w:ascii="Times New Roman" w:hAnsi="Times New Roman"/>
                <w:bCs/>
                <w:sz w:val="28"/>
                <w:szCs w:val="24"/>
              </w:rPr>
              <w:t>Intervención ciudadana</w:t>
            </w:r>
            <w:r w:rsidRPr="00862128">
              <w:rPr>
                <w:rStyle w:val="Refdenotaalpie"/>
                <w:rFonts w:ascii="Times New Roman" w:hAnsi="Times New Roman"/>
                <w:sz w:val="28"/>
                <w:szCs w:val="24"/>
              </w:rPr>
              <w:footnoteReference w:id="26"/>
            </w:r>
          </w:p>
        </w:tc>
        <w:tc>
          <w:tcPr>
            <w:tcW w:w="2268" w:type="dxa"/>
            <w:shd w:val="clear" w:color="auto" w:fill="auto"/>
            <w:vAlign w:val="center"/>
          </w:tcPr>
          <w:p w:rsidR="00B91B9D"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 xml:space="preserve">Héctor Riveros Serrato; </w:t>
            </w:r>
            <w:r w:rsidRPr="00862128">
              <w:rPr>
                <w:rFonts w:ascii="Times New Roman" w:hAnsi="Times New Roman"/>
                <w:sz w:val="28"/>
                <w:szCs w:val="24"/>
              </w:rPr>
              <w:t>Alejandro Rodríguez Zárate</w:t>
            </w:r>
            <w:r w:rsidRPr="00862128">
              <w:rPr>
                <w:rFonts w:ascii="Times New Roman" w:hAnsi="Times New Roman"/>
                <w:bCs/>
                <w:sz w:val="28"/>
                <w:szCs w:val="24"/>
              </w:rPr>
              <w:t>;</w:t>
            </w:r>
            <w:r w:rsidRPr="00862128">
              <w:rPr>
                <w:rFonts w:ascii="Times New Roman" w:hAnsi="Times New Roman"/>
                <w:sz w:val="28"/>
                <w:szCs w:val="24"/>
              </w:rPr>
              <w:t xml:space="preserve"> </w:t>
            </w:r>
          </w:p>
          <w:p w:rsidR="00251D73"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Marcel Tangarife Torres y Andrea Sánchez Calvo</w:t>
            </w:r>
            <w:r w:rsidRPr="00862128">
              <w:rPr>
                <w:rFonts w:ascii="Times New Roman" w:hAnsi="Times New Roman"/>
                <w:bCs/>
                <w:sz w:val="28"/>
                <w:szCs w:val="24"/>
              </w:rPr>
              <w:t>;</w:t>
            </w:r>
          </w:p>
          <w:p w:rsidR="0011307F"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Edward David Rodríguez Rodríguez</w:t>
            </w:r>
            <w:r w:rsidRPr="00862128">
              <w:rPr>
                <w:rFonts w:ascii="Times New Roman" w:hAnsi="Times New Roman"/>
                <w:bCs/>
                <w:sz w:val="28"/>
                <w:szCs w:val="24"/>
              </w:rPr>
              <w:t>;</w:t>
            </w:r>
          </w:p>
          <w:p w:rsidR="00693834"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 xml:space="preserve">Alejandro Linares </w:t>
            </w:r>
            <w:r w:rsidRPr="00862128">
              <w:rPr>
                <w:rFonts w:ascii="Times New Roman" w:hAnsi="Times New Roman"/>
                <w:sz w:val="28"/>
                <w:szCs w:val="24"/>
              </w:rPr>
              <w:t>Cantillo</w:t>
            </w:r>
            <w:r w:rsidRPr="00862128">
              <w:rPr>
                <w:rFonts w:ascii="Times New Roman" w:hAnsi="Times New Roman"/>
                <w:bCs/>
                <w:sz w:val="28"/>
                <w:szCs w:val="24"/>
              </w:rPr>
              <w:t>;</w:t>
            </w:r>
          </w:p>
          <w:p w:rsidR="0011307F"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Juan Pablo López Pérez</w:t>
            </w:r>
            <w:r w:rsidRPr="00862128">
              <w:rPr>
                <w:rFonts w:ascii="Times New Roman" w:hAnsi="Times New Roman"/>
                <w:bCs/>
                <w:sz w:val="28"/>
                <w:szCs w:val="24"/>
              </w:rPr>
              <w:t>;</w:t>
            </w:r>
          </w:p>
        </w:tc>
        <w:tc>
          <w:tcPr>
            <w:tcW w:w="2373" w:type="dxa"/>
            <w:shd w:val="clear" w:color="auto" w:fill="auto"/>
          </w:tcPr>
          <w:p w:rsidR="00251D73" w:rsidRPr="00862128" w:rsidRDefault="00862128" w:rsidP="00862128">
            <w:pPr>
              <w:spacing w:after="0" w:line="240" w:lineRule="auto"/>
              <w:jc w:val="center"/>
              <w:rPr>
                <w:rFonts w:ascii="Times New Roman" w:hAnsi="Times New Roman"/>
                <w:sz w:val="28"/>
                <w:szCs w:val="24"/>
              </w:rPr>
            </w:pPr>
            <w:r w:rsidRPr="00862128">
              <w:rPr>
                <w:rFonts w:ascii="Times New Roman" w:hAnsi="Times New Roman"/>
                <w:sz w:val="28"/>
                <w:szCs w:val="24"/>
              </w:rPr>
              <w:t>Julián Felipe Esguerra Cortes</w:t>
            </w:r>
          </w:p>
        </w:tc>
        <w:tc>
          <w:tcPr>
            <w:tcW w:w="2021" w:type="dxa"/>
            <w:shd w:val="clear" w:color="auto" w:fill="auto"/>
          </w:tcPr>
          <w:p w:rsidR="00251D73" w:rsidRPr="00862128" w:rsidRDefault="00862128" w:rsidP="00862128">
            <w:pPr>
              <w:spacing w:after="0" w:line="240" w:lineRule="auto"/>
              <w:jc w:val="center"/>
              <w:rPr>
                <w:rFonts w:ascii="Times New Roman" w:hAnsi="Times New Roman"/>
                <w:bCs/>
                <w:sz w:val="28"/>
                <w:szCs w:val="24"/>
              </w:rPr>
            </w:pPr>
          </w:p>
        </w:tc>
      </w:tr>
    </w:tbl>
    <w:p w:rsidR="00694A10"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bCs/>
          <w:sz w:val="28"/>
        </w:rPr>
      </w:pPr>
      <w:r w:rsidRPr="00862128">
        <w:rPr>
          <w:rFonts w:ascii="Times New Roman" w:hAnsi="Times New Roman"/>
          <w:bCs/>
          <w:sz w:val="28"/>
        </w:rPr>
        <w:t xml:space="preserve">Tabla 1. </w:t>
      </w:r>
      <w:r w:rsidRPr="00862128">
        <w:rPr>
          <w:rFonts w:ascii="Times New Roman" w:hAnsi="Times New Roman"/>
          <w:bCs/>
          <w:i/>
          <w:iCs/>
          <w:sz w:val="28"/>
        </w:rPr>
        <w:t>Intervenciones</w:t>
      </w:r>
      <w:r w:rsidRPr="00862128">
        <w:rPr>
          <w:rFonts w:ascii="Times New Roman" w:hAnsi="Times New Roman"/>
          <w:bCs/>
          <w:i/>
          <w:iCs/>
          <w:sz w:val="28"/>
        </w:rPr>
        <w:t xml:space="preserve"> ciudadanas e institucionales</w:t>
      </w:r>
      <w:r w:rsidRPr="00862128">
        <w:rPr>
          <w:rFonts w:ascii="Times New Roman" w:hAnsi="Times New Roman"/>
          <w:bCs/>
          <w:i/>
          <w:iCs/>
          <w:sz w:val="28"/>
        </w:rPr>
        <w:t xml:space="preserve"> </w:t>
      </w:r>
    </w:p>
    <w:p w:rsidR="00A917B4"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bCs/>
          <w:sz w:val="28"/>
          <w:szCs w:val="28"/>
        </w:rPr>
      </w:pPr>
    </w:p>
    <w:p w:rsidR="00584B3F"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bCs/>
          <w:iCs/>
          <w:sz w:val="28"/>
          <w:szCs w:val="28"/>
        </w:rPr>
        <w:t>El texto completo de las intervenciones</w:t>
      </w:r>
      <w:r w:rsidRPr="00862128">
        <w:rPr>
          <w:rStyle w:val="Refdenotaalpie"/>
          <w:rFonts w:ascii="Times New Roman" w:hAnsi="Times New Roman"/>
          <w:bCs/>
          <w:iCs/>
          <w:sz w:val="28"/>
          <w:szCs w:val="28"/>
        </w:rPr>
        <w:footnoteReference w:id="27"/>
      </w:r>
      <w:r w:rsidRPr="00862128">
        <w:rPr>
          <w:rFonts w:ascii="Times New Roman" w:hAnsi="Times New Roman"/>
          <w:bCs/>
          <w:iCs/>
          <w:sz w:val="28"/>
          <w:szCs w:val="28"/>
        </w:rPr>
        <w:t xml:space="preserve"> puede consultarse en la página web de la Corte Constitucional</w:t>
      </w:r>
      <w:r w:rsidRPr="00862128">
        <w:rPr>
          <w:rStyle w:val="Refdenotaalpie"/>
          <w:rFonts w:ascii="Times New Roman" w:hAnsi="Times New Roman"/>
          <w:sz w:val="28"/>
          <w:szCs w:val="28"/>
        </w:rPr>
        <w:footnoteReference w:id="28"/>
      </w:r>
      <w:r w:rsidRPr="00862128">
        <w:rPr>
          <w:rFonts w:ascii="Times New Roman" w:hAnsi="Times New Roman"/>
          <w:bCs/>
          <w:iCs/>
          <w:sz w:val="28"/>
          <w:szCs w:val="28"/>
        </w:rPr>
        <w:t xml:space="preserve">. </w:t>
      </w:r>
      <w:r w:rsidRPr="00862128">
        <w:rPr>
          <w:rFonts w:ascii="Times New Roman" w:hAnsi="Times New Roman"/>
          <w:bCs/>
          <w:iCs/>
          <w:sz w:val="28"/>
          <w:szCs w:val="28"/>
        </w:rPr>
        <w:t xml:space="preserve">En algunos casos, </w:t>
      </w:r>
      <w:r w:rsidRPr="00862128">
        <w:rPr>
          <w:rFonts w:ascii="Times New Roman" w:hAnsi="Times New Roman"/>
          <w:bCs/>
          <w:iCs/>
          <w:sz w:val="28"/>
          <w:szCs w:val="28"/>
        </w:rPr>
        <w:t xml:space="preserve">un mismo interviniente presentó </w:t>
      </w:r>
      <w:r w:rsidRPr="00862128">
        <w:rPr>
          <w:rFonts w:ascii="Times New Roman" w:hAnsi="Times New Roman"/>
          <w:bCs/>
          <w:iCs/>
          <w:sz w:val="28"/>
          <w:szCs w:val="28"/>
        </w:rPr>
        <w:t>peticiones con solicitudes principales y subsidiarias</w:t>
      </w:r>
      <w:r w:rsidRPr="00862128">
        <w:rPr>
          <w:rFonts w:ascii="Times New Roman" w:hAnsi="Times New Roman"/>
          <w:bCs/>
          <w:iCs/>
          <w:sz w:val="28"/>
          <w:szCs w:val="28"/>
        </w:rPr>
        <w:t>.</w:t>
      </w:r>
    </w:p>
    <w:p w:rsidR="00584B3F"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153D47"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bCs/>
          <w:iCs/>
          <w:sz w:val="28"/>
          <w:szCs w:val="28"/>
        </w:rPr>
        <w:t xml:space="preserve">A continuación se </w:t>
      </w:r>
      <w:r w:rsidRPr="00862128">
        <w:rPr>
          <w:rFonts w:ascii="Times New Roman" w:hAnsi="Times New Roman"/>
          <w:bCs/>
          <w:iCs/>
          <w:sz w:val="28"/>
          <w:szCs w:val="28"/>
        </w:rPr>
        <w:t xml:space="preserve">presenta una síntesis de </w:t>
      </w:r>
      <w:r w:rsidRPr="00862128">
        <w:rPr>
          <w:rFonts w:ascii="Times New Roman" w:hAnsi="Times New Roman"/>
          <w:bCs/>
          <w:iCs/>
          <w:sz w:val="28"/>
          <w:szCs w:val="28"/>
        </w:rPr>
        <w:t>los</w:t>
      </w:r>
      <w:r w:rsidRPr="00862128">
        <w:rPr>
          <w:rFonts w:ascii="Times New Roman" w:hAnsi="Times New Roman"/>
          <w:bCs/>
          <w:iCs/>
          <w:sz w:val="28"/>
          <w:szCs w:val="28"/>
        </w:rPr>
        <w:t xml:space="preserve"> principales argumentos, en función de la solicitud formulada. </w:t>
      </w:r>
    </w:p>
    <w:p w:rsidR="00F06AD5"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3E4A90" w:rsidRPr="00862128" w:rsidRDefault="00862128" w:rsidP="00BE5143">
      <w:pPr>
        <w:pStyle w:val="Ttulo3"/>
        <w:spacing w:before="0" w:after="0"/>
        <w:rPr>
          <w:rFonts w:ascii="Times New Roman" w:hAnsi="Times New Roman"/>
          <w:b/>
          <w:bCs/>
          <w:color w:val="auto"/>
        </w:rPr>
      </w:pPr>
      <w:bookmarkStart w:id="12" w:name="_Toc223713276"/>
      <w:r w:rsidRPr="00862128">
        <w:rPr>
          <w:rFonts w:ascii="Times New Roman" w:hAnsi="Times New Roman"/>
          <w:b/>
          <w:bCs/>
          <w:color w:val="auto"/>
        </w:rPr>
        <w:t xml:space="preserve">4.1. Argumentos para solicitar a la Corte que se declare </w:t>
      </w:r>
      <w:r w:rsidRPr="00862128">
        <w:rPr>
          <w:rFonts w:ascii="Times New Roman" w:hAnsi="Times New Roman"/>
          <w:b/>
          <w:bCs/>
          <w:color w:val="auto"/>
        </w:rPr>
        <w:t>inhibida</w:t>
      </w:r>
      <w:bookmarkEnd w:id="12"/>
    </w:p>
    <w:p w:rsidR="003E4A90"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3E4A90"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El ciudadano Héctor Riveros Serrato solicit</w:t>
      </w:r>
      <w:r w:rsidRPr="00862128">
        <w:rPr>
          <w:rFonts w:ascii="Times New Roman" w:hAnsi="Times New Roman"/>
          <w:sz w:val="28"/>
          <w:szCs w:val="28"/>
        </w:rPr>
        <w:t>ó</w:t>
      </w:r>
      <w:r w:rsidRPr="00862128">
        <w:rPr>
          <w:rFonts w:ascii="Times New Roman" w:hAnsi="Times New Roman"/>
          <w:sz w:val="28"/>
          <w:szCs w:val="28"/>
        </w:rPr>
        <w:t xml:space="preserve"> que la Corte se inhiba de emitir un pronunciamiento de fondo por ineptitud sustantiva de la demanda, al considerar que los cargos formulados carecen de certeza, especificidad y suficiencia, pues no se </w:t>
      </w:r>
      <w:r w:rsidRPr="00862128">
        <w:rPr>
          <w:rFonts w:ascii="Times New Roman" w:hAnsi="Times New Roman"/>
          <w:sz w:val="28"/>
          <w:szCs w:val="28"/>
        </w:rPr>
        <w:t>presenta un trato desigual entre entidades vigiladas y no vigiladas por la Superintendencia Financiera, sin demostrar que se trate de sujetos comparables ni que exista una norma que imponga un régimen diferenciado. Sostiene que la norma demandada no excluy</w:t>
      </w:r>
      <w:r w:rsidRPr="00862128">
        <w:rPr>
          <w:rFonts w:ascii="Times New Roman" w:hAnsi="Times New Roman"/>
          <w:sz w:val="28"/>
          <w:szCs w:val="28"/>
        </w:rPr>
        <w:t>e del régimen general de intereses los costos de la firma electrónica, sino que establece una excepción razonable, en concordancia con el artículo 68 de la Ley 45 de 1990, la cual no vulnera el principio de igualdad ni afecta la protección al consumidor ni</w:t>
      </w:r>
      <w:r w:rsidRPr="00862128">
        <w:rPr>
          <w:rFonts w:ascii="Times New Roman" w:hAnsi="Times New Roman"/>
          <w:sz w:val="28"/>
          <w:szCs w:val="28"/>
        </w:rPr>
        <w:t xml:space="preserve"> la libre competencia. Añad</w:t>
      </w:r>
      <w:r w:rsidRPr="00862128">
        <w:rPr>
          <w:rFonts w:ascii="Times New Roman" w:hAnsi="Times New Roman"/>
          <w:sz w:val="28"/>
          <w:szCs w:val="28"/>
        </w:rPr>
        <w:t>ió</w:t>
      </w:r>
      <w:r w:rsidRPr="00862128">
        <w:rPr>
          <w:rFonts w:ascii="Times New Roman" w:hAnsi="Times New Roman"/>
          <w:sz w:val="28"/>
          <w:szCs w:val="28"/>
        </w:rPr>
        <w:t xml:space="preserve"> que la firma electrónica es un mecanismo opcional de autenticación, cuyo costo recae sobre el consumidor y no constituye una contraprestación por el uso del capital, por lo que no puede reputarse como interés.</w:t>
      </w:r>
    </w:p>
    <w:p w:rsidR="003E4A90" w:rsidRPr="00862128" w:rsidRDefault="00862128" w:rsidP="00BE5143">
      <w:pPr>
        <w:pStyle w:val="Prrafodelista"/>
        <w:rPr>
          <w:rFonts w:ascii="Times New Roman" w:eastAsia="Calibri" w:hAnsi="Times New Roman"/>
          <w:sz w:val="28"/>
          <w:szCs w:val="28"/>
          <w:lang w:val="es-ES"/>
        </w:rPr>
      </w:pPr>
    </w:p>
    <w:p w:rsidR="006047AE"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eastAsia="Calibri" w:hAnsi="Times New Roman"/>
          <w:sz w:val="28"/>
          <w:szCs w:val="28"/>
        </w:rPr>
        <w:t xml:space="preserve">Según el interviniente, </w:t>
      </w:r>
      <w:r w:rsidRPr="00862128">
        <w:rPr>
          <w:rFonts w:ascii="Times New Roman" w:eastAsia="Calibri" w:hAnsi="Times New Roman"/>
          <w:sz w:val="28"/>
          <w:szCs w:val="28"/>
          <w:lang w:val="es-ES"/>
        </w:rPr>
        <w:t>“la demanda no supera la exigencia de certeza de los argumentos planteados, en la medida en que parten de supuestos que no se desprenden del texto de las normas acusadas o de las disposiciones constitucionales que se estiman infring</w:t>
      </w:r>
      <w:r w:rsidRPr="00862128">
        <w:rPr>
          <w:rFonts w:ascii="Times New Roman" w:eastAsia="Calibri" w:hAnsi="Times New Roman"/>
          <w:sz w:val="28"/>
          <w:szCs w:val="28"/>
          <w:lang w:val="es-ES"/>
        </w:rPr>
        <w:t xml:space="preserve">idas. Tampoco supera los requisitos de suficiencia y especificidad, ya que los cargos planteados por infracción del derecho a la igualdad están derivados de la interpretación propia del demandante al comparar dos normas que se dirigen a agentes económicos </w:t>
      </w:r>
      <w:r w:rsidRPr="00862128">
        <w:rPr>
          <w:rFonts w:ascii="Times New Roman" w:eastAsia="Calibri" w:hAnsi="Times New Roman"/>
          <w:sz w:val="28"/>
          <w:szCs w:val="28"/>
          <w:lang w:val="es-ES"/>
        </w:rPr>
        <w:t>distintos”</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29"/>
      </w:r>
      <w:r w:rsidRPr="00862128">
        <w:rPr>
          <w:rFonts w:ascii="Times New Roman" w:eastAsia="Calibri" w:hAnsi="Times New Roman"/>
          <w:sz w:val="28"/>
          <w:szCs w:val="28"/>
          <w:lang w:val="es-ES"/>
        </w:rPr>
        <w:t>. Adicionalmente, pone de presente que</w:t>
      </w:r>
      <w:r w:rsidRPr="00862128">
        <w:rPr>
          <w:rFonts w:ascii="Times New Roman" w:eastAsia="Calibri" w:hAnsi="Times New Roman"/>
          <w:sz w:val="28"/>
          <w:szCs w:val="28"/>
          <w:lang w:val="es-ES"/>
        </w:rPr>
        <w:t>:</w:t>
      </w:r>
      <w:r w:rsidRPr="00862128">
        <w:rPr>
          <w:rFonts w:ascii="Times New Roman" w:eastAsia="Calibri" w:hAnsi="Times New Roman"/>
          <w:sz w:val="28"/>
          <w:szCs w:val="28"/>
          <w:lang w:val="es-ES"/>
        </w:rPr>
        <w:t xml:space="preserve"> </w:t>
      </w:r>
    </w:p>
    <w:p w:rsidR="006047AE" w:rsidRPr="00862128" w:rsidRDefault="00862128" w:rsidP="003664DF">
      <w:pPr>
        <w:pStyle w:val="Prrafodelista"/>
        <w:rPr>
          <w:rFonts w:ascii="Times New Roman" w:eastAsia="Calibri" w:hAnsi="Times New Roman"/>
          <w:sz w:val="28"/>
          <w:szCs w:val="28"/>
          <w:lang w:val="es-ES"/>
        </w:rPr>
      </w:pPr>
    </w:p>
    <w:p w:rsidR="003E4A90" w:rsidRPr="00862128" w:rsidRDefault="00862128" w:rsidP="003664DF">
      <w:pPr>
        <w:pStyle w:val="Prrafodelista"/>
        <w:tabs>
          <w:tab w:val="left" w:pos="567"/>
        </w:tabs>
        <w:autoSpaceDE w:val="0"/>
        <w:autoSpaceDN w:val="0"/>
        <w:ind w:left="567"/>
        <w:contextualSpacing w:val="0"/>
        <w:jc w:val="both"/>
        <w:textAlignment w:val="baseline"/>
        <w:rPr>
          <w:rFonts w:ascii="Times New Roman" w:hAnsi="Times New Roman"/>
          <w:sz w:val="28"/>
          <w:szCs w:val="28"/>
        </w:rPr>
      </w:pPr>
      <w:r w:rsidRPr="00862128">
        <w:rPr>
          <w:rFonts w:ascii="Times New Roman" w:eastAsia="Calibri" w:hAnsi="Times New Roman"/>
          <w:sz w:val="28"/>
          <w:szCs w:val="28"/>
        </w:rPr>
        <w:tab/>
      </w:r>
      <w:r w:rsidRPr="00862128">
        <w:rPr>
          <w:rFonts w:ascii="Times New Roman" w:eastAsia="Calibri" w:hAnsi="Times New Roman"/>
          <w:sz w:val="28"/>
          <w:szCs w:val="28"/>
          <w:lang w:val="es-ES"/>
        </w:rPr>
        <w:t xml:space="preserve">“los argumentos de la demanda se basan en interpretaciones del demandante respecto de los alcances de la norma demandada en comparación, no con la Constitución, sino con otra norma de naturaleza legal </w:t>
      </w:r>
      <w:r w:rsidRPr="00862128">
        <w:rPr>
          <w:rFonts w:ascii="Times New Roman" w:eastAsia="Calibri" w:hAnsi="Times New Roman"/>
          <w:sz w:val="28"/>
          <w:szCs w:val="28"/>
          <w:lang w:val="es-ES"/>
        </w:rPr>
        <w:t>que no dice expresamente lo que el actor señala y que los operadores jurídicos de la misma tampoco han derivado en forma cierta. El actor infiere que la regulación relacionada con el cálculo de intereses respecto de créditos otorgados por empresas no somet</w:t>
      </w:r>
      <w:r w:rsidRPr="00862128">
        <w:rPr>
          <w:rFonts w:ascii="Times New Roman" w:eastAsia="Calibri" w:hAnsi="Times New Roman"/>
          <w:sz w:val="28"/>
          <w:szCs w:val="28"/>
          <w:lang w:val="es-ES"/>
        </w:rPr>
        <w:t>idas a vigilancia de la Superintendencia Financiera es distinta a la que rige para las vigiladas a pesar de que tal conclusión es fruto de una construcción exclusivamente subjetiva, con base en presunciones, conjeturas o sospechas suyas.</w:t>
      </w:r>
      <w:r w:rsidRPr="00862128">
        <w:rPr>
          <w:rFonts w:ascii="Times New Roman" w:eastAsia="Calibri" w:hAnsi="Times New Roman"/>
          <w:sz w:val="28"/>
          <w:szCs w:val="28"/>
          <w:lang w:val="es-ES"/>
        </w:rPr>
        <w:t>”</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30"/>
      </w:r>
    </w:p>
    <w:p w:rsidR="003E4A90"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3E4A90"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eastAsia="Calibri" w:hAnsi="Times New Roman"/>
          <w:sz w:val="28"/>
          <w:szCs w:val="28"/>
          <w:lang w:val="es-ES"/>
        </w:rPr>
      </w:pPr>
      <w:r w:rsidRPr="00862128">
        <w:rPr>
          <w:rFonts w:ascii="Times New Roman" w:eastAsia="Calibri" w:hAnsi="Times New Roman"/>
          <w:sz w:val="28"/>
          <w:szCs w:val="28"/>
          <w:lang w:val="es-ES"/>
        </w:rPr>
        <w:t xml:space="preserve">Igualmente, </w:t>
      </w:r>
      <w:r w:rsidRPr="00862128">
        <w:rPr>
          <w:rFonts w:ascii="Times New Roman" w:eastAsia="Calibri" w:hAnsi="Times New Roman"/>
          <w:sz w:val="28"/>
          <w:szCs w:val="28"/>
          <w:lang w:val="es-ES"/>
        </w:rPr>
        <w:t>señala</w:t>
      </w:r>
      <w:r w:rsidRPr="00862128">
        <w:rPr>
          <w:rFonts w:ascii="Times New Roman" w:eastAsia="Calibri" w:hAnsi="Times New Roman"/>
          <w:sz w:val="28"/>
          <w:szCs w:val="28"/>
          <w:lang w:val="es-ES"/>
        </w:rPr>
        <w:t xml:space="preserve"> que “la Corte ha reiterado que el juicio de constitucionalidad no puede fundarse en conjeturas, hipótesis interpretativas personales o presunciones del actor, sino que debe derivarse de una lectura razonable y objetiva del texto normativo acusado (C</w:t>
      </w:r>
      <w:r w:rsidRPr="00862128">
        <w:rPr>
          <w:rFonts w:ascii="Times New Roman" w:eastAsia="Calibri" w:hAnsi="Times New Roman"/>
          <w:sz w:val="28"/>
          <w:szCs w:val="28"/>
          <w:lang w:val="es-ES"/>
        </w:rPr>
        <w:t>-1052 de 2001, C-131 de</w:t>
      </w:r>
      <w:r w:rsidRPr="00862128">
        <w:rPr>
          <w:rFonts w:ascii="Times New Roman" w:eastAsia="Calibri" w:hAnsi="Times New Roman"/>
          <w:sz w:val="28"/>
          <w:szCs w:val="28"/>
          <w:lang w:val="es-ES"/>
        </w:rPr>
        <w:t xml:space="preserve"> </w:t>
      </w:r>
      <w:r w:rsidRPr="00862128">
        <w:rPr>
          <w:rFonts w:ascii="Times New Roman" w:eastAsia="Calibri" w:hAnsi="Times New Roman"/>
          <w:sz w:val="28"/>
          <w:szCs w:val="28"/>
          <w:lang w:val="es-ES"/>
        </w:rPr>
        <w:t>2002). Al no cumplirse este estándar, el cargo por violación de la igualdad (art. 13 C.P.) no satisface el requisito de certeza, pues se dirige contra un supuesto normativo no contenido ni explícita ni implícitamente en el ordenamie</w:t>
      </w:r>
      <w:r w:rsidRPr="00862128">
        <w:rPr>
          <w:rFonts w:ascii="Times New Roman" w:eastAsia="Calibri" w:hAnsi="Times New Roman"/>
          <w:sz w:val="28"/>
          <w:szCs w:val="28"/>
          <w:lang w:val="es-ES"/>
        </w:rPr>
        <w:t>nto jurídico. En contravía de las exigencias jurisprudenciales sobre la aptitud sustantiva de la demanda, el libelo que activa el presente proceso carece de especificidad y pertinencia en la medida en que plantea una contradicción normativa entre dos dispo</w:t>
      </w:r>
      <w:r w:rsidRPr="00862128">
        <w:rPr>
          <w:rFonts w:ascii="Times New Roman" w:eastAsia="Calibri" w:hAnsi="Times New Roman"/>
          <w:sz w:val="28"/>
          <w:szCs w:val="28"/>
          <w:lang w:val="es-ES"/>
        </w:rPr>
        <w:t>siciones legales y a partir de allí sustenta la presunta inconstitucionalidad y termina planteando un asunto sin relevancia constitucional.”</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31"/>
      </w:r>
    </w:p>
    <w:p w:rsidR="003E4A90" w:rsidRPr="00862128" w:rsidRDefault="00862128" w:rsidP="00BE5143">
      <w:pPr>
        <w:pStyle w:val="Prrafodelista"/>
        <w:rPr>
          <w:rFonts w:ascii="Times New Roman" w:hAnsi="Times New Roman"/>
          <w:sz w:val="28"/>
          <w:szCs w:val="28"/>
        </w:rPr>
      </w:pPr>
    </w:p>
    <w:p w:rsidR="00527498"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Asimismo, solicita, en subsidio, que se declare la exequibilidad de la norma, al considerar que el legislador ac</w:t>
      </w:r>
      <w:r w:rsidRPr="00862128">
        <w:rPr>
          <w:rFonts w:ascii="Times New Roman" w:hAnsi="Times New Roman"/>
          <w:sz w:val="28"/>
          <w:szCs w:val="28"/>
        </w:rPr>
        <w:t xml:space="preserve">tuó dentro de su margen de configuración normativa al establecer un régimen diferenciado para las </w:t>
      </w:r>
      <w:r w:rsidRPr="00862128">
        <w:rPr>
          <w:rFonts w:ascii="Times New Roman" w:hAnsi="Times New Roman"/>
          <w:sz w:val="28"/>
          <w:szCs w:val="28"/>
        </w:rPr>
        <w:t>“</w:t>
      </w:r>
      <w:r w:rsidRPr="00862128">
        <w:rPr>
          <w:rFonts w:ascii="Times New Roman" w:hAnsi="Times New Roman"/>
          <w:sz w:val="28"/>
          <w:szCs w:val="28"/>
        </w:rPr>
        <w:t>Fintech</w:t>
      </w:r>
      <w:r w:rsidRPr="00862128">
        <w:rPr>
          <w:rFonts w:ascii="Times New Roman" w:hAnsi="Times New Roman"/>
          <w:sz w:val="28"/>
          <w:szCs w:val="28"/>
        </w:rPr>
        <w:t>”</w:t>
      </w:r>
      <w:r w:rsidRPr="00862128">
        <w:rPr>
          <w:rStyle w:val="Refdenotaalpie"/>
          <w:rFonts w:ascii="Times New Roman" w:hAnsi="Times New Roman"/>
          <w:sz w:val="28"/>
          <w:szCs w:val="28"/>
        </w:rPr>
        <w:footnoteReference w:id="32"/>
      </w:r>
      <w:r w:rsidRPr="00862128">
        <w:rPr>
          <w:rFonts w:ascii="Times New Roman" w:hAnsi="Times New Roman"/>
          <w:sz w:val="28"/>
          <w:szCs w:val="28"/>
        </w:rPr>
        <w:t>, que no captan ahorro del público y operan bajo condiciones distintas a las entidades financieras tradicionales. Resalta que la norma promueve la i</w:t>
      </w:r>
      <w:r w:rsidRPr="00862128">
        <w:rPr>
          <w:rFonts w:ascii="Times New Roman" w:hAnsi="Times New Roman"/>
          <w:sz w:val="28"/>
          <w:szCs w:val="28"/>
        </w:rPr>
        <w:t>nclusión financiera, facilita el acceso al crédito para poblaciones excluidas y garantiza la transparencia en la información al consumidor. Concluye que la disposición demandada no genera inseguridad jurídica ni afecta derechos fundamentales, sino que desa</w:t>
      </w:r>
      <w:r w:rsidRPr="00862128">
        <w:rPr>
          <w:rFonts w:ascii="Times New Roman" w:hAnsi="Times New Roman"/>
          <w:sz w:val="28"/>
          <w:szCs w:val="28"/>
        </w:rPr>
        <w:t>rrolla de manera coherente el régimen vigente sobre intereses y servicios accesorios al crédito, y que cualquier diferencia normativa responde a criterios objetivos y constitucionalmente válidos.</w:t>
      </w:r>
    </w:p>
    <w:p w:rsidR="00527498"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527498" w:rsidRPr="00862128" w:rsidRDefault="00862128" w:rsidP="006047AE">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lang w:val="es-ES_tradnl"/>
        </w:rPr>
        <w:t xml:space="preserve">La Asociación Colombiana de Empresas de Tecnología e </w:t>
      </w:r>
      <w:r w:rsidRPr="00862128">
        <w:rPr>
          <w:rFonts w:ascii="Times New Roman" w:hAnsi="Times New Roman"/>
          <w:sz w:val="28"/>
          <w:szCs w:val="28"/>
          <w:lang w:val="es-ES_tradnl"/>
        </w:rPr>
        <w:t>Innovación Financiera (Colombia Fintech) solicitó, de manera subsidiaria, que “la Corte Constitucional se inhiba de pronunciarse de fondo sobre los cargos formulados en la demanda”</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33"/>
      </w:r>
      <w:r w:rsidRPr="00862128">
        <w:rPr>
          <w:rFonts w:ascii="Times New Roman" w:hAnsi="Times New Roman"/>
          <w:sz w:val="28"/>
          <w:szCs w:val="28"/>
          <w:lang w:val="es-ES_tradnl"/>
        </w:rPr>
        <w:t xml:space="preserve">. Para dicha organización, “no es cierto que las entidades vigiladas por la Superintendencia Financiera deban incluir el servicio de firma digital en las sumas que cobran a los tomadores de crédito por intereses por disponerlo así el artículo 68 de la Ley </w:t>
      </w:r>
      <w:r w:rsidRPr="00862128">
        <w:rPr>
          <w:rFonts w:ascii="Times New Roman" w:hAnsi="Times New Roman"/>
          <w:sz w:val="28"/>
          <w:szCs w:val="28"/>
          <w:lang w:val="es-ES_tradnl"/>
        </w:rPr>
        <w:t xml:space="preserve">45 de 1990, sino porque así se los ordena la Circular Básica Jurídica (Circular Externa 029 de 2014) que expidió esa Superintendencia, la cual no es aplicable a las instituciones que no están sometidas a su vigilancia.” </w:t>
      </w:r>
      <w:r w:rsidRPr="00862128">
        <w:rPr>
          <w:rStyle w:val="Refdenotaalpie"/>
          <w:rFonts w:ascii="Times New Roman" w:hAnsi="Times New Roman"/>
          <w:sz w:val="28"/>
          <w:szCs w:val="28"/>
        </w:rPr>
        <w:footnoteReference w:id="34"/>
      </w:r>
    </w:p>
    <w:p w:rsidR="00527498" w:rsidRPr="00862128" w:rsidRDefault="00862128" w:rsidP="00BE5143">
      <w:pPr>
        <w:pStyle w:val="Prrafodelista"/>
        <w:rPr>
          <w:rFonts w:ascii="Times New Roman" w:hAnsi="Times New Roman"/>
          <w:sz w:val="28"/>
          <w:szCs w:val="28"/>
          <w:lang w:val="es-ES_tradnl"/>
        </w:rPr>
      </w:pPr>
    </w:p>
    <w:p w:rsidR="005B35C1" w:rsidRPr="00862128" w:rsidRDefault="00862128" w:rsidP="006047AE">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lang w:val="es-ES_tradnl"/>
        </w:rPr>
        <w:t xml:space="preserve">Colombia </w:t>
      </w:r>
      <w:r w:rsidRPr="00862128">
        <w:rPr>
          <w:rFonts w:ascii="Times New Roman" w:hAnsi="Times New Roman"/>
          <w:sz w:val="28"/>
          <w:szCs w:val="28"/>
          <w:lang w:val="es-ES_tradnl"/>
        </w:rPr>
        <w:t>Fintech señaló</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que tampo</w:t>
      </w:r>
      <w:r w:rsidRPr="00862128">
        <w:rPr>
          <w:rFonts w:ascii="Times New Roman" w:hAnsi="Times New Roman"/>
          <w:sz w:val="28"/>
          <w:szCs w:val="28"/>
          <w:lang w:val="es-ES_tradnl"/>
        </w:rPr>
        <w:t xml:space="preserve">co es </w:t>
      </w:r>
      <w:r w:rsidRPr="00862128">
        <w:rPr>
          <w:rFonts w:ascii="Times New Roman" w:hAnsi="Times New Roman"/>
          <w:sz w:val="28"/>
          <w:szCs w:val="28"/>
          <w:lang w:val="es-ES_tradnl"/>
        </w:rPr>
        <w:t>verdadero</w:t>
      </w:r>
      <w:r w:rsidRPr="00862128">
        <w:rPr>
          <w:rFonts w:ascii="Times New Roman" w:hAnsi="Times New Roman"/>
          <w:sz w:val="28"/>
          <w:szCs w:val="28"/>
          <w:lang w:val="es-ES_tradnl"/>
        </w:rPr>
        <w:t xml:space="preserve"> que </w:t>
      </w:r>
      <w:r w:rsidRPr="00862128">
        <w:rPr>
          <w:rFonts w:ascii="Times New Roman" w:hAnsi="Times New Roman"/>
          <w:sz w:val="28"/>
          <w:szCs w:val="28"/>
        </w:rPr>
        <w:t xml:space="preserve">“el artículo 7 de la ley 2439 de 2024 haya establecido una excepción a favor de las entidades no vigiladas por la Superintendencia Financiera que concedan créditos, que les permita cobrar a sus deudores el costo de la firma electrónica </w:t>
      </w:r>
      <w:r w:rsidRPr="00862128">
        <w:rPr>
          <w:rFonts w:ascii="Times New Roman" w:hAnsi="Times New Roman"/>
          <w:sz w:val="28"/>
          <w:szCs w:val="28"/>
        </w:rPr>
        <w:t>por fuera de los intereses, porque, como ya se expuso, esa práctica no fue prohibida por el mencionado artículo 68 de la Ley 45 de 1990.”</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35"/>
      </w:r>
      <w:r w:rsidRPr="00862128">
        <w:rPr>
          <w:rFonts w:ascii="Times New Roman" w:hAnsi="Times New Roman"/>
          <w:sz w:val="28"/>
          <w:szCs w:val="28"/>
        </w:rPr>
        <w:t>,</w:t>
      </w:r>
      <w:r w:rsidRPr="00862128">
        <w:rPr>
          <w:rFonts w:ascii="Times New Roman" w:hAnsi="Times New Roman"/>
          <w:sz w:val="28"/>
          <w:szCs w:val="28"/>
        </w:rPr>
        <w:t xml:space="preserve"> Precisa que el reparo que hizo el demandante contra la “supuesta diferencia en el trato entre las instituciones vig</w:t>
      </w:r>
      <w:r w:rsidRPr="00862128">
        <w:rPr>
          <w:rFonts w:ascii="Times New Roman" w:hAnsi="Times New Roman"/>
          <w:sz w:val="28"/>
          <w:szCs w:val="28"/>
        </w:rPr>
        <w:t>iladas por la Superintendencia Financiera y las demás personas en Colombia en relación con la posibilidad de cobrar la firma digital a los tomadores de crédito, debe ser planteado ante la jurisdicción contenciosa y no ante la Corte Constitucional, y debe d</w:t>
      </w:r>
      <w:r w:rsidRPr="00862128">
        <w:rPr>
          <w:rFonts w:ascii="Times New Roman" w:hAnsi="Times New Roman"/>
          <w:sz w:val="28"/>
          <w:szCs w:val="28"/>
        </w:rPr>
        <w:t xml:space="preserve">irigirse contra la Circular Externa 029 de 2014, porque esa es la disposición que crea la diferencia que -según la teoría que el accionante planteó en la demanda- ocasionaría el supuesto efecto violatorio de la Constitución Política que él refiere, ya que </w:t>
      </w:r>
      <w:r w:rsidRPr="00862128">
        <w:rPr>
          <w:rFonts w:ascii="Times New Roman" w:hAnsi="Times New Roman"/>
          <w:sz w:val="28"/>
          <w:szCs w:val="28"/>
        </w:rPr>
        <w:t>fue mediante esa Circular que la Superintendencia prohibió a sus vigilados que cobren ninguna suma, adicional a los intereses, por la utilización de servicios asociados a la tecnología en los créditos que otorgan”</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36"/>
      </w:r>
      <w:r w:rsidRPr="00862128">
        <w:rPr>
          <w:rFonts w:ascii="Times New Roman" w:hAnsi="Times New Roman"/>
          <w:sz w:val="28"/>
          <w:szCs w:val="28"/>
        </w:rPr>
        <w:t>.</w:t>
      </w:r>
    </w:p>
    <w:p w:rsidR="001E34D9" w:rsidRPr="00862128" w:rsidRDefault="00862128" w:rsidP="003664DF">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527498" w:rsidRPr="00862128" w:rsidRDefault="00862128" w:rsidP="006047AE">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Concluy</w:t>
      </w:r>
      <w:r w:rsidRPr="00862128">
        <w:rPr>
          <w:rFonts w:ascii="Times New Roman" w:hAnsi="Times New Roman"/>
          <w:sz w:val="28"/>
          <w:szCs w:val="28"/>
        </w:rPr>
        <w:t>ó</w:t>
      </w:r>
      <w:r w:rsidRPr="00862128">
        <w:rPr>
          <w:rFonts w:ascii="Times New Roman" w:hAnsi="Times New Roman"/>
          <w:sz w:val="28"/>
          <w:szCs w:val="28"/>
        </w:rPr>
        <w:t xml:space="preserve"> que “la Corte Constitucional que es guardiana de la Constitución Política no está para hacer control indirecto del reglamento el cuál debe hacerlo el Consejo de Estado”</w:t>
      </w:r>
      <w:r w:rsidRPr="00862128">
        <w:rPr>
          <w:rStyle w:val="Refdenotaalpie"/>
          <w:rFonts w:ascii="Times New Roman" w:hAnsi="Times New Roman"/>
          <w:sz w:val="28"/>
          <w:szCs w:val="28"/>
        </w:rPr>
        <w:footnoteReference w:id="37"/>
      </w:r>
      <w:r w:rsidRPr="00862128">
        <w:rPr>
          <w:rFonts w:ascii="Times New Roman" w:hAnsi="Times New Roman"/>
          <w:sz w:val="28"/>
          <w:szCs w:val="28"/>
        </w:rPr>
        <w:t>.</w:t>
      </w:r>
    </w:p>
    <w:p w:rsidR="00527498"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1E34D9"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lang w:val="es-ES_tradnl"/>
        </w:rPr>
        <w:t>Alejandro Rodríguez Zárate, solicit</w:t>
      </w:r>
      <w:r w:rsidRPr="00862128">
        <w:rPr>
          <w:rFonts w:ascii="Times New Roman" w:hAnsi="Times New Roman"/>
          <w:sz w:val="28"/>
          <w:szCs w:val="28"/>
          <w:lang w:val="es-ES_tradnl"/>
        </w:rPr>
        <w:t>ó</w:t>
      </w:r>
      <w:r w:rsidRPr="00862128">
        <w:rPr>
          <w:rFonts w:ascii="Times New Roman" w:hAnsi="Times New Roman"/>
          <w:sz w:val="28"/>
          <w:szCs w:val="28"/>
          <w:lang w:val="es-ES_tradnl"/>
        </w:rPr>
        <w:t xml:space="preserve"> a la Corte que se inhiba de emitir pronunciami</w:t>
      </w:r>
      <w:r w:rsidRPr="00862128">
        <w:rPr>
          <w:rFonts w:ascii="Times New Roman" w:hAnsi="Times New Roman"/>
          <w:sz w:val="28"/>
          <w:szCs w:val="28"/>
          <w:lang w:val="es-ES_tradnl"/>
        </w:rPr>
        <w:t>ento de fondo por falta de certeza en los cargos formulados en la demanda o, en subsidio, declarar la exequibilidad de la norma demandada. Argumenta que la interpretación del demandante omite considerar el inciso final de la norma acusada, el cual remite a</w:t>
      </w:r>
      <w:r w:rsidRPr="00862128">
        <w:rPr>
          <w:rFonts w:ascii="Times New Roman" w:hAnsi="Times New Roman"/>
          <w:sz w:val="28"/>
          <w:szCs w:val="28"/>
          <w:lang w:val="es-ES_tradnl"/>
        </w:rPr>
        <w:t xml:space="preserve"> otras disposiciones legales que regulan los conceptos de interés, y que establece que ciertos rubros no se reputarán como intereses si han sido informados y asumidos por el usuario. </w:t>
      </w:r>
    </w:p>
    <w:p w:rsidR="001E34D9" w:rsidRPr="00862128" w:rsidRDefault="00862128" w:rsidP="003664DF">
      <w:pPr>
        <w:pStyle w:val="Prrafodelista"/>
        <w:rPr>
          <w:rFonts w:ascii="Times New Roman" w:hAnsi="Times New Roman"/>
          <w:sz w:val="28"/>
          <w:szCs w:val="28"/>
          <w:lang w:val="es-ES_tradnl"/>
        </w:rPr>
      </w:pPr>
    </w:p>
    <w:p w:rsidR="00527498"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lang w:val="es-ES_tradnl"/>
        </w:rPr>
        <w:t>Concluy</w:t>
      </w:r>
      <w:r w:rsidRPr="00862128">
        <w:rPr>
          <w:rFonts w:ascii="Times New Roman" w:hAnsi="Times New Roman"/>
          <w:sz w:val="28"/>
          <w:szCs w:val="28"/>
          <w:lang w:val="es-ES_tradnl"/>
        </w:rPr>
        <w:t>ó</w:t>
      </w:r>
      <w:r w:rsidRPr="00862128">
        <w:rPr>
          <w:rFonts w:ascii="Times New Roman" w:hAnsi="Times New Roman"/>
          <w:sz w:val="28"/>
          <w:szCs w:val="28"/>
          <w:lang w:val="es-ES_tradnl"/>
        </w:rPr>
        <w:t xml:space="preserve"> que la norma no genera discriminación, no afecta derechos fund</w:t>
      </w:r>
      <w:r w:rsidRPr="00862128">
        <w:rPr>
          <w:rFonts w:ascii="Times New Roman" w:hAnsi="Times New Roman"/>
          <w:sz w:val="28"/>
          <w:szCs w:val="28"/>
          <w:lang w:val="es-ES_tradnl"/>
        </w:rPr>
        <w:t>amentales, no vulnera la libertad económica ni de empresa, y que los cargos formulados no fueron desarrollados suficientemente en la demanda, por lo cual, no cumplen con los requisitos jurisprudenciales para un pronunciamiento de fondo.</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38"/>
      </w:r>
    </w:p>
    <w:p w:rsidR="00527498" w:rsidRPr="00862128" w:rsidRDefault="00862128" w:rsidP="00BE5143">
      <w:pPr>
        <w:pStyle w:val="Prrafodelista"/>
        <w:rPr>
          <w:rFonts w:ascii="Times New Roman" w:hAnsi="Times New Roman"/>
          <w:sz w:val="28"/>
          <w:szCs w:val="28"/>
          <w:lang w:val="es-ES_tradnl"/>
        </w:rPr>
      </w:pPr>
    </w:p>
    <w:p w:rsidR="001E34D9"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lang w:val="es-ES_tradnl"/>
        </w:rPr>
        <w:t>Marcel Tangarife</w:t>
      </w:r>
      <w:r w:rsidRPr="00862128">
        <w:rPr>
          <w:rFonts w:ascii="Times New Roman" w:hAnsi="Times New Roman"/>
          <w:sz w:val="28"/>
          <w:szCs w:val="28"/>
          <w:lang w:val="es-ES_tradnl"/>
        </w:rPr>
        <w:t xml:space="preserve"> Torres y Andrea Sánchez Calvo, solicita</w:t>
      </w:r>
      <w:r w:rsidRPr="00862128">
        <w:rPr>
          <w:rFonts w:ascii="Times New Roman" w:hAnsi="Times New Roman"/>
          <w:sz w:val="28"/>
          <w:szCs w:val="28"/>
          <w:lang w:val="es-ES_tradnl"/>
        </w:rPr>
        <w:t>ron</w:t>
      </w:r>
      <w:r w:rsidRPr="00862128">
        <w:rPr>
          <w:rFonts w:ascii="Times New Roman" w:hAnsi="Times New Roman"/>
          <w:sz w:val="28"/>
          <w:szCs w:val="28"/>
          <w:lang w:val="es-ES_tradnl"/>
        </w:rPr>
        <w:t xml:space="preserve"> de manera subsidiaria que la Corte se inhiba de pronunciarse respecto de los cargos por los artículos 78 y 333 de la Constitución, por incumplimiento de los requisitos argumentativos mínimos. Señala</w:t>
      </w:r>
      <w:r w:rsidRPr="00862128">
        <w:rPr>
          <w:rFonts w:ascii="Times New Roman" w:hAnsi="Times New Roman"/>
          <w:sz w:val="28"/>
          <w:szCs w:val="28"/>
          <w:lang w:val="es-ES_tradnl"/>
        </w:rPr>
        <w:t>ron</w:t>
      </w:r>
      <w:r w:rsidRPr="00862128">
        <w:rPr>
          <w:rFonts w:ascii="Times New Roman" w:hAnsi="Times New Roman"/>
          <w:sz w:val="28"/>
          <w:szCs w:val="28"/>
          <w:lang w:val="es-ES_tradnl"/>
        </w:rPr>
        <w:t xml:space="preserve"> que “el de</w:t>
      </w:r>
      <w:r w:rsidRPr="00862128">
        <w:rPr>
          <w:rFonts w:ascii="Times New Roman" w:hAnsi="Times New Roman"/>
          <w:sz w:val="28"/>
          <w:szCs w:val="28"/>
          <w:lang w:val="es-ES_tradnl"/>
        </w:rPr>
        <w:t>mandante aduce que la norma acusada vulnera el principio de igualdad consagrado en el artículo 13 de la Constitución Política, al establecer una discriminación artificial entre las F</w:t>
      </w:r>
      <w:r w:rsidRPr="00862128">
        <w:rPr>
          <w:rFonts w:ascii="Times New Roman" w:hAnsi="Times New Roman"/>
          <w:sz w:val="28"/>
          <w:szCs w:val="28"/>
          <w:lang w:val="es-ES_tradnl"/>
        </w:rPr>
        <w:t>intech</w:t>
      </w:r>
      <w:r w:rsidRPr="00862128">
        <w:rPr>
          <w:rFonts w:ascii="Times New Roman" w:hAnsi="Times New Roman"/>
          <w:sz w:val="28"/>
          <w:szCs w:val="28"/>
          <w:lang w:val="es-ES_tradnl"/>
        </w:rPr>
        <w:t xml:space="preserve"> y las entidades financieras basada únicamente en el criterio de la autoridad administrativa de vigilancia y control; vulnera el artículo 78 de la Constitución Política al afectar los derechos de los consumidores, sin explicar en qué consiste este cargo de</w:t>
      </w:r>
      <w:r w:rsidRPr="00862128">
        <w:rPr>
          <w:rFonts w:ascii="Times New Roman" w:hAnsi="Times New Roman"/>
          <w:sz w:val="28"/>
          <w:szCs w:val="28"/>
          <w:lang w:val="es-ES_tradnl"/>
        </w:rPr>
        <w:t xml:space="preserve"> inconstitucionalidad; y vulnera el artículo 333 de la Constitución Política al afectar la libre competencia entre las F</w:t>
      </w:r>
      <w:r w:rsidRPr="00862128">
        <w:rPr>
          <w:rFonts w:ascii="Times New Roman" w:hAnsi="Times New Roman"/>
          <w:sz w:val="28"/>
          <w:szCs w:val="28"/>
          <w:lang w:val="es-ES_tradnl"/>
        </w:rPr>
        <w:t>intech</w:t>
      </w:r>
      <w:r w:rsidRPr="00862128">
        <w:rPr>
          <w:rFonts w:ascii="Times New Roman" w:hAnsi="Times New Roman"/>
          <w:sz w:val="28"/>
          <w:szCs w:val="28"/>
          <w:lang w:val="es-ES_tradnl"/>
        </w:rPr>
        <w:t xml:space="preserve"> y las entidades financieras, sin explicar en qué consiste este cargo de inconstitucionalidad.”</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39"/>
      </w:r>
      <w:r w:rsidRPr="00862128">
        <w:rPr>
          <w:rFonts w:ascii="Times New Roman" w:hAnsi="Times New Roman"/>
          <w:sz w:val="28"/>
          <w:szCs w:val="28"/>
          <w:lang w:val="es-ES_tradnl"/>
        </w:rPr>
        <w:t xml:space="preserve"> </w:t>
      </w:r>
    </w:p>
    <w:p w:rsidR="001E34D9" w:rsidRPr="00862128" w:rsidRDefault="00862128" w:rsidP="003664DF">
      <w:pPr>
        <w:pStyle w:val="Prrafodelista"/>
        <w:rPr>
          <w:rFonts w:ascii="Times New Roman" w:hAnsi="Times New Roman"/>
          <w:sz w:val="28"/>
          <w:szCs w:val="28"/>
          <w:lang w:val="es-ES_tradnl"/>
        </w:rPr>
      </w:pPr>
    </w:p>
    <w:p w:rsidR="00527498"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Recalcaron</w:t>
      </w:r>
      <w:r w:rsidRPr="00862128">
        <w:rPr>
          <w:rFonts w:ascii="Times New Roman" w:hAnsi="Times New Roman"/>
          <w:sz w:val="28"/>
          <w:szCs w:val="28"/>
        </w:rPr>
        <w:t xml:space="preserve"> </w:t>
      </w:r>
      <w:r w:rsidRPr="00862128">
        <w:rPr>
          <w:rFonts w:ascii="Times New Roman" w:hAnsi="Times New Roman"/>
          <w:sz w:val="28"/>
          <w:szCs w:val="28"/>
          <w:lang w:val="es-ES_tradnl"/>
        </w:rPr>
        <w:t xml:space="preserve">que “la demanda no </w:t>
      </w:r>
      <w:r w:rsidRPr="00862128">
        <w:rPr>
          <w:rFonts w:ascii="Times New Roman" w:hAnsi="Times New Roman"/>
          <w:sz w:val="28"/>
          <w:szCs w:val="28"/>
          <w:lang w:val="es-ES_tradnl"/>
        </w:rPr>
        <w:t>formula un cargo específico de inconstitucionalidad por la presunta vulneración” de los artículos 78 y 333 de la Constitución Política, “razón por la cual la Corte debe declararse inhibida para pronunciarse sobre este cargo, ya que no cumple con el requisi</w:t>
      </w:r>
      <w:r w:rsidRPr="00862128">
        <w:rPr>
          <w:rFonts w:ascii="Times New Roman" w:hAnsi="Times New Roman"/>
          <w:sz w:val="28"/>
          <w:szCs w:val="28"/>
          <w:lang w:val="es-ES_tradnl"/>
        </w:rPr>
        <w:t>to establecido en el artículo 3 del Decreto Ley 2067de 1991”</w:t>
      </w:r>
      <w:r w:rsidRPr="00862128">
        <w:rPr>
          <w:rStyle w:val="Refdenotaalpie"/>
          <w:rFonts w:ascii="Times New Roman" w:hAnsi="Times New Roman"/>
          <w:sz w:val="28"/>
          <w:szCs w:val="28"/>
        </w:rPr>
        <w:footnoteReference w:id="40"/>
      </w:r>
      <w:r w:rsidRPr="00862128">
        <w:rPr>
          <w:rFonts w:ascii="Times New Roman" w:hAnsi="Times New Roman"/>
          <w:sz w:val="28"/>
          <w:szCs w:val="28"/>
          <w:lang w:val="es-ES_tradnl"/>
        </w:rPr>
        <w:t>.</w:t>
      </w:r>
    </w:p>
    <w:p w:rsidR="003E4A90"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206B96" w:rsidRPr="00862128" w:rsidRDefault="00862128" w:rsidP="00BE5143">
      <w:pPr>
        <w:pStyle w:val="Ttulo3"/>
        <w:spacing w:before="0" w:after="0"/>
        <w:rPr>
          <w:rFonts w:ascii="Times New Roman" w:hAnsi="Times New Roman"/>
          <w:b/>
          <w:bCs/>
          <w:color w:val="auto"/>
        </w:rPr>
      </w:pPr>
      <w:bookmarkStart w:id="13" w:name="_Toc223713277"/>
      <w:r w:rsidRPr="00862128">
        <w:rPr>
          <w:rFonts w:ascii="Times New Roman" w:hAnsi="Times New Roman"/>
          <w:b/>
          <w:bCs/>
          <w:color w:val="auto"/>
        </w:rPr>
        <w:t>4.</w:t>
      </w:r>
      <w:r w:rsidRPr="00862128">
        <w:rPr>
          <w:rFonts w:ascii="Times New Roman" w:hAnsi="Times New Roman"/>
          <w:b/>
          <w:bCs/>
          <w:color w:val="auto"/>
        </w:rPr>
        <w:t>2</w:t>
      </w:r>
      <w:r w:rsidRPr="00862128">
        <w:rPr>
          <w:rFonts w:ascii="Times New Roman" w:hAnsi="Times New Roman"/>
          <w:b/>
          <w:bCs/>
          <w:color w:val="auto"/>
        </w:rPr>
        <w:t xml:space="preserve">. </w:t>
      </w:r>
      <w:r w:rsidRPr="00862128">
        <w:rPr>
          <w:rFonts w:ascii="Times New Roman" w:hAnsi="Times New Roman"/>
          <w:b/>
          <w:bCs/>
          <w:color w:val="auto"/>
        </w:rPr>
        <w:t>Argumentos de exequibilidad</w:t>
      </w:r>
      <w:bookmarkEnd w:id="13"/>
    </w:p>
    <w:p w:rsidR="00E915F7"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694A10"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La Asociación Colombiana de Empresas de Tecnología e Innovación Financiera (Colombia Fintech) y los ciudadanos Juan Pablo López Pérez,</w:t>
      </w:r>
      <w:r w:rsidRPr="00862128">
        <w:rPr>
          <w:rFonts w:ascii="Times New Roman" w:hAnsi="Times New Roman"/>
          <w:sz w:val="28"/>
          <w:szCs w:val="28"/>
          <w:shd w:val="clear" w:color="auto" w:fill="FFFFFF"/>
        </w:rPr>
        <w:t xml:space="preserve"> </w:t>
      </w:r>
      <w:r w:rsidRPr="00862128">
        <w:rPr>
          <w:rFonts w:ascii="Times New Roman" w:hAnsi="Times New Roman"/>
          <w:sz w:val="28"/>
          <w:szCs w:val="28"/>
        </w:rPr>
        <w:t xml:space="preserve">Alejandro Rodríguez </w:t>
      </w:r>
      <w:r w:rsidRPr="00862128">
        <w:rPr>
          <w:rFonts w:ascii="Times New Roman" w:hAnsi="Times New Roman"/>
          <w:sz w:val="28"/>
          <w:szCs w:val="28"/>
        </w:rPr>
        <w:t>Zárate, Marcel Tangarife Torres, Andrea Sánchez Calvo Torres, Héctor Riveros Serrato, Edward David Rodríguez</w:t>
      </w:r>
      <w:r w:rsidRPr="00862128">
        <w:rPr>
          <w:rFonts w:ascii="Times New Roman" w:hAnsi="Times New Roman"/>
          <w:sz w:val="28"/>
          <w:szCs w:val="28"/>
        </w:rPr>
        <w:t xml:space="preserve"> y</w:t>
      </w:r>
      <w:r w:rsidRPr="00862128">
        <w:rPr>
          <w:rFonts w:ascii="Times New Roman" w:hAnsi="Times New Roman"/>
          <w:sz w:val="28"/>
          <w:szCs w:val="28"/>
        </w:rPr>
        <w:t xml:space="preserve"> Alejandro Linares Cantillo</w:t>
      </w:r>
      <w:r w:rsidRPr="00862128">
        <w:rPr>
          <w:rFonts w:ascii="Times New Roman" w:hAnsi="Times New Roman"/>
          <w:sz w:val="28"/>
          <w:szCs w:val="28"/>
        </w:rPr>
        <w:t>,</w:t>
      </w:r>
      <w:r w:rsidRPr="00862128">
        <w:rPr>
          <w:rFonts w:ascii="Times New Roman" w:hAnsi="Times New Roman"/>
          <w:sz w:val="28"/>
          <w:szCs w:val="28"/>
        </w:rPr>
        <w:t xml:space="preserve"> solicita</w:t>
      </w:r>
      <w:r w:rsidRPr="00862128">
        <w:rPr>
          <w:rFonts w:ascii="Times New Roman" w:hAnsi="Times New Roman"/>
          <w:sz w:val="28"/>
          <w:szCs w:val="28"/>
        </w:rPr>
        <w:t>ron</w:t>
      </w:r>
      <w:r w:rsidRPr="00862128">
        <w:rPr>
          <w:rFonts w:ascii="Times New Roman" w:hAnsi="Times New Roman"/>
          <w:sz w:val="28"/>
          <w:szCs w:val="28"/>
        </w:rPr>
        <w:t xml:space="preserve"> la declaratoria de exequibilidad </w:t>
      </w:r>
      <w:r w:rsidRPr="00862128">
        <w:rPr>
          <w:rFonts w:ascii="Times New Roman" w:hAnsi="Times New Roman"/>
          <w:sz w:val="28"/>
          <w:szCs w:val="28"/>
        </w:rPr>
        <w:t xml:space="preserve">del aparte demandando </w:t>
      </w:r>
      <w:r w:rsidRPr="00862128">
        <w:rPr>
          <w:rFonts w:ascii="Times New Roman" w:hAnsi="Times New Roman"/>
          <w:sz w:val="28"/>
          <w:szCs w:val="28"/>
        </w:rPr>
        <w:t>o en subsidio</w:t>
      </w:r>
      <w:r w:rsidRPr="00862128">
        <w:rPr>
          <w:rFonts w:ascii="Times New Roman" w:hAnsi="Times New Roman"/>
          <w:sz w:val="28"/>
          <w:szCs w:val="28"/>
        </w:rPr>
        <w:t>,</w:t>
      </w:r>
      <w:r w:rsidRPr="00862128">
        <w:rPr>
          <w:rFonts w:ascii="Times New Roman" w:hAnsi="Times New Roman"/>
          <w:sz w:val="28"/>
          <w:szCs w:val="28"/>
        </w:rPr>
        <w:t xml:space="preserve"> que la Corte se declare inhibida para decidir </w:t>
      </w:r>
      <w:r w:rsidRPr="00862128">
        <w:rPr>
          <w:rFonts w:ascii="Times New Roman" w:hAnsi="Times New Roman"/>
          <w:sz w:val="28"/>
          <w:szCs w:val="28"/>
        </w:rPr>
        <w:t>sobre el asunto.</w:t>
      </w:r>
    </w:p>
    <w:p w:rsidR="00D74898"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F10247"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La Asociación Colombiana de Empresas de Tecnología e Innovación Financiera </w:t>
      </w:r>
      <w:r w:rsidRPr="00862128">
        <w:rPr>
          <w:rFonts w:ascii="Times New Roman" w:hAnsi="Times New Roman"/>
          <w:sz w:val="28"/>
          <w:szCs w:val="28"/>
        </w:rPr>
        <w:t>(</w:t>
      </w:r>
      <w:r w:rsidRPr="00862128">
        <w:rPr>
          <w:rFonts w:ascii="Times New Roman" w:hAnsi="Times New Roman"/>
          <w:sz w:val="28"/>
          <w:szCs w:val="28"/>
        </w:rPr>
        <w:t>Colombia Fintech</w:t>
      </w:r>
      <w:r w:rsidRPr="00862128">
        <w:rPr>
          <w:rFonts w:ascii="Times New Roman" w:hAnsi="Times New Roman"/>
          <w:sz w:val="28"/>
          <w:szCs w:val="28"/>
        </w:rPr>
        <w:t>)</w:t>
      </w:r>
      <w:r w:rsidRPr="00862128">
        <w:rPr>
          <w:rFonts w:ascii="Times New Roman" w:hAnsi="Times New Roman"/>
          <w:sz w:val="28"/>
          <w:szCs w:val="28"/>
        </w:rPr>
        <w:t xml:space="preserve">, </w:t>
      </w:r>
      <w:r w:rsidRPr="00862128">
        <w:rPr>
          <w:rFonts w:ascii="Times New Roman" w:hAnsi="Times New Roman"/>
          <w:sz w:val="28"/>
          <w:szCs w:val="28"/>
        </w:rPr>
        <w:t>def</w:t>
      </w:r>
      <w:r w:rsidRPr="00862128">
        <w:rPr>
          <w:rFonts w:ascii="Times New Roman" w:hAnsi="Times New Roman"/>
          <w:sz w:val="28"/>
          <w:szCs w:val="28"/>
        </w:rPr>
        <w:t>endió</w:t>
      </w:r>
      <w:r w:rsidRPr="00862128">
        <w:rPr>
          <w:rFonts w:ascii="Times New Roman" w:hAnsi="Times New Roman"/>
          <w:sz w:val="28"/>
          <w:szCs w:val="28"/>
        </w:rPr>
        <w:t xml:space="preserve"> la constitucionalidad de la disposición acusada</w:t>
      </w:r>
      <w:r w:rsidRPr="00862128">
        <w:rPr>
          <w:rFonts w:ascii="Times New Roman" w:hAnsi="Times New Roman"/>
          <w:sz w:val="28"/>
          <w:szCs w:val="28"/>
        </w:rPr>
        <w:t xml:space="preserve">, argumentando que el artículo 68 de la </w:t>
      </w:r>
      <w:r w:rsidRPr="00862128">
        <w:rPr>
          <w:rFonts w:ascii="Times New Roman" w:hAnsi="Times New Roman"/>
          <w:sz w:val="28"/>
          <w:szCs w:val="28"/>
        </w:rPr>
        <w:t>Ley 45 de 1990 no prohíbe el cobro separado de servicios como la firma electrónica, siempre que no excedan los límites reglamentarios. Sost</w:t>
      </w:r>
      <w:r w:rsidRPr="00862128">
        <w:rPr>
          <w:rFonts w:ascii="Times New Roman" w:hAnsi="Times New Roman"/>
          <w:sz w:val="28"/>
          <w:szCs w:val="28"/>
        </w:rPr>
        <w:t>uvo</w:t>
      </w:r>
      <w:r w:rsidRPr="00862128">
        <w:rPr>
          <w:rFonts w:ascii="Times New Roman" w:hAnsi="Times New Roman"/>
          <w:sz w:val="28"/>
          <w:szCs w:val="28"/>
        </w:rPr>
        <w:t xml:space="preserve"> que la Circular 029 de 2014 de la Superintendencia Financiera impone restricciones solo a entidades bajo su vigil</w:t>
      </w:r>
      <w:r w:rsidRPr="00862128">
        <w:rPr>
          <w:rFonts w:ascii="Times New Roman" w:hAnsi="Times New Roman"/>
          <w:sz w:val="28"/>
          <w:szCs w:val="28"/>
        </w:rPr>
        <w:t xml:space="preserve">ancia, por lo que no puede erigirse como parámetro constitucional. </w:t>
      </w:r>
      <w:r w:rsidRPr="00862128">
        <w:rPr>
          <w:rFonts w:ascii="Times New Roman" w:hAnsi="Times New Roman"/>
          <w:sz w:val="28"/>
          <w:szCs w:val="28"/>
        </w:rPr>
        <w:t xml:space="preserve">Agrega </w:t>
      </w:r>
      <w:r w:rsidRPr="00862128">
        <w:rPr>
          <w:rFonts w:ascii="Times New Roman" w:hAnsi="Times New Roman"/>
          <w:sz w:val="28"/>
          <w:szCs w:val="28"/>
        </w:rPr>
        <w:t>que l</w:t>
      </w:r>
      <w:r w:rsidRPr="00862128">
        <w:rPr>
          <w:rFonts w:ascii="Times New Roman" w:hAnsi="Times New Roman"/>
          <w:sz w:val="28"/>
          <w:szCs w:val="28"/>
        </w:rPr>
        <w:t>a disposición demandada</w:t>
      </w:r>
      <w:r w:rsidRPr="00862128">
        <w:rPr>
          <w:rFonts w:ascii="Times New Roman" w:hAnsi="Times New Roman"/>
          <w:sz w:val="28"/>
          <w:szCs w:val="28"/>
        </w:rPr>
        <w:t xml:space="preserve"> </w:t>
      </w:r>
      <w:r w:rsidRPr="00862128">
        <w:rPr>
          <w:rFonts w:ascii="Times New Roman" w:hAnsi="Times New Roman"/>
          <w:sz w:val="28"/>
          <w:szCs w:val="28"/>
        </w:rPr>
        <w:t>no vulnera el principio de igualdad ni el régimen de protección al consumidor, sino que introduce una precisión legislativa que obliga a informar discrim</w:t>
      </w:r>
      <w:r w:rsidRPr="00862128">
        <w:rPr>
          <w:rFonts w:ascii="Times New Roman" w:hAnsi="Times New Roman"/>
          <w:sz w:val="28"/>
          <w:szCs w:val="28"/>
        </w:rPr>
        <w:t xml:space="preserve">inadamente los cargos tecnológicos, permitiendo al consumidor optar por alternativas gratuitas. </w:t>
      </w:r>
      <w:r w:rsidRPr="00862128">
        <w:rPr>
          <w:rFonts w:ascii="Times New Roman" w:hAnsi="Times New Roman"/>
          <w:sz w:val="28"/>
          <w:szCs w:val="28"/>
        </w:rPr>
        <w:t>A</w:t>
      </w:r>
      <w:r w:rsidRPr="00862128">
        <w:rPr>
          <w:rFonts w:ascii="Times New Roman" w:hAnsi="Times New Roman"/>
          <w:sz w:val="28"/>
          <w:szCs w:val="28"/>
        </w:rPr>
        <w:t>rgument</w:t>
      </w:r>
      <w:r w:rsidRPr="00862128">
        <w:rPr>
          <w:rFonts w:ascii="Times New Roman" w:hAnsi="Times New Roman"/>
          <w:sz w:val="28"/>
          <w:szCs w:val="28"/>
        </w:rPr>
        <w:t>ó</w:t>
      </w:r>
      <w:r w:rsidRPr="00862128">
        <w:rPr>
          <w:rFonts w:ascii="Times New Roman" w:hAnsi="Times New Roman"/>
          <w:sz w:val="28"/>
          <w:szCs w:val="28"/>
        </w:rPr>
        <w:t xml:space="preserve"> que la diferencia de trato entre entidades vigiladas y no vigiladas responde a la naturaleza de los esquemas regulatorios aplicables y a la necesidad </w:t>
      </w:r>
      <w:r w:rsidRPr="00862128">
        <w:rPr>
          <w:rFonts w:ascii="Times New Roman" w:hAnsi="Times New Roman"/>
          <w:sz w:val="28"/>
          <w:szCs w:val="28"/>
        </w:rPr>
        <w:t>de adaptar la regulación a modelos digitales más flexibles. Además, afirma que la norma no genera distorsiones competitivas ni vulnera la libre competencia, ya que los efectos económicos son equivalentes y comparables entre ambos tipos de entidades.</w:t>
      </w:r>
    </w:p>
    <w:p w:rsidR="00F10247" w:rsidRPr="00862128" w:rsidRDefault="00862128" w:rsidP="00BE5143">
      <w:pPr>
        <w:pStyle w:val="Prrafodelista"/>
        <w:rPr>
          <w:rFonts w:ascii="Times New Roman" w:hAnsi="Times New Roman"/>
          <w:sz w:val="28"/>
          <w:szCs w:val="28"/>
        </w:rPr>
      </w:pPr>
    </w:p>
    <w:p w:rsidR="002F4FAD"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Enfat</w:t>
      </w:r>
      <w:r w:rsidRPr="00862128">
        <w:rPr>
          <w:rFonts w:ascii="Times New Roman" w:hAnsi="Times New Roman"/>
          <w:sz w:val="28"/>
          <w:szCs w:val="28"/>
        </w:rPr>
        <w:t>iz</w:t>
      </w:r>
      <w:r w:rsidRPr="00862128">
        <w:rPr>
          <w:rFonts w:ascii="Times New Roman" w:hAnsi="Times New Roman"/>
          <w:sz w:val="28"/>
          <w:szCs w:val="28"/>
        </w:rPr>
        <w:t>ó</w:t>
      </w:r>
      <w:r w:rsidRPr="00862128">
        <w:rPr>
          <w:rFonts w:ascii="Times New Roman" w:hAnsi="Times New Roman"/>
          <w:sz w:val="28"/>
          <w:szCs w:val="28"/>
        </w:rPr>
        <w:t xml:space="preserve"> que el legislador tiene amplia libertad para establecer tratamientos diferenciados con base en finalidades legítimas, como la inclusión financiera y la protección al consumidor. </w:t>
      </w:r>
      <w:r w:rsidRPr="00862128">
        <w:rPr>
          <w:rFonts w:ascii="Times New Roman" w:hAnsi="Times New Roman"/>
          <w:sz w:val="28"/>
          <w:szCs w:val="28"/>
        </w:rPr>
        <w:t>C</w:t>
      </w:r>
      <w:r w:rsidRPr="00862128">
        <w:rPr>
          <w:rFonts w:ascii="Times New Roman" w:hAnsi="Times New Roman"/>
          <w:sz w:val="28"/>
          <w:szCs w:val="28"/>
        </w:rPr>
        <w:t>oncluye que la disposición demandada desarrolla los artículos 78 y 335 de</w:t>
      </w:r>
      <w:r w:rsidRPr="00862128">
        <w:rPr>
          <w:rFonts w:ascii="Times New Roman" w:hAnsi="Times New Roman"/>
          <w:sz w:val="28"/>
          <w:szCs w:val="28"/>
        </w:rPr>
        <w:t xml:space="preserve"> la Constitución, al exigir condiciones de transparencia, voluntariedad e información clara sobre los cargos tecnológicos, sin permitir cobros ocultos ni exceder el tope de usura.</w:t>
      </w:r>
    </w:p>
    <w:p w:rsidR="00EF55F8" w:rsidRPr="00862128" w:rsidRDefault="00862128" w:rsidP="00BE5143">
      <w:pPr>
        <w:pStyle w:val="Prrafodelista"/>
        <w:rPr>
          <w:rFonts w:ascii="Times New Roman" w:hAnsi="Times New Roman"/>
          <w:sz w:val="28"/>
          <w:szCs w:val="28"/>
        </w:rPr>
      </w:pPr>
    </w:p>
    <w:p w:rsidR="007B76BA"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El ciudadano </w:t>
      </w:r>
      <w:r w:rsidRPr="00862128">
        <w:rPr>
          <w:rFonts w:ascii="Times New Roman" w:hAnsi="Times New Roman"/>
          <w:sz w:val="28"/>
          <w:szCs w:val="28"/>
        </w:rPr>
        <w:t>Alejandro Rodríguez Zárate, solicit</w:t>
      </w:r>
      <w:r w:rsidRPr="00862128">
        <w:rPr>
          <w:rFonts w:ascii="Times New Roman" w:hAnsi="Times New Roman"/>
          <w:sz w:val="28"/>
          <w:szCs w:val="28"/>
        </w:rPr>
        <w:t>ó</w:t>
      </w:r>
      <w:r w:rsidRPr="00862128">
        <w:rPr>
          <w:rFonts w:ascii="Times New Roman" w:hAnsi="Times New Roman"/>
          <w:sz w:val="28"/>
          <w:szCs w:val="28"/>
        </w:rPr>
        <w:t xml:space="preserve"> que la Corte se inhiba de emitir pronunciamiento de fondo por falta de certeza en los cargos formulados en la demanda o, en subsidio, declarar la exequibilidad de la norma demandada. Argument</w:t>
      </w:r>
      <w:r w:rsidRPr="00862128">
        <w:rPr>
          <w:rFonts w:ascii="Times New Roman" w:hAnsi="Times New Roman"/>
          <w:sz w:val="28"/>
          <w:szCs w:val="28"/>
        </w:rPr>
        <w:t>ó</w:t>
      </w:r>
      <w:r w:rsidRPr="00862128">
        <w:rPr>
          <w:rFonts w:ascii="Times New Roman" w:hAnsi="Times New Roman"/>
          <w:sz w:val="28"/>
          <w:szCs w:val="28"/>
        </w:rPr>
        <w:t xml:space="preserve"> que la interpretación del demandante, omite considerar el inci</w:t>
      </w:r>
      <w:r w:rsidRPr="00862128">
        <w:rPr>
          <w:rFonts w:ascii="Times New Roman" w:hAnsi="Times New Roman"/>
          <w:sz w:val="28"/>
          <w:szCs w:val="28"/>
        </w:rPr>
        <w:t xml:space="preserve">so final de la norma </w:t>
      </w:r>
      <w:r w:rsidRPr="00862128">
        <w:rPr>
          <w:rFonts w:ascii="Times New Roman" w:hAnsi="Times New Roman"/>
          <w:sz w:val="28"/>
          <w:szCs w:val="28"/>
        </w:rPr>
        <w:t>acusada</w:t>
      </w:r>
      <w:r w:rsidRPr="00862128">
        <w:rPr>
          <w:rFonts w:ascii="Times New Roman" w:hAnsi="Times New Roman"/>
          <w:sz w:val="28"/>
          <w:szCs w:val="28"/>
        </w:rPr>
        <w:t>, el cual remite a otras disposiciones legales que regulan los conceptos de interés, y que establece que ciertos rubros no se reputarán como intereses si han sido informados y asumidos por el usuario.</w:t>
      </w:r>
    </w:p>
    <w:p w:rsidR="007B76BA" w:rsidRPr="00862128" w:rsidRDefault="00862128" w:rsidP="003664DF">
      <w:pPr>
        <w:pStyle w:val="Prrafodelista"/>
        <w:rPr>
          <w:rFonts w:ascii="Times New Roman" w:hAnsi="Times New Roman"/>
          <w:sz w:val="28"/>
          <w:szCs w:val="28"/>
        </w:rPr>
      </w:pPr>
    </w:p>
    <w:p w:rsidR="00943399"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En su opinión,</w:t>
      </w:r>
      <w:r w:rsidRPr="00862128">
        <w:rPr>
          <w:rFonts w:ascii="Times New Roman" w:hAnsi="Times New Roman"/>
          <w:sz w:val="28"/>
          <w:szCs w:val="28"/>
        </w:rPr>
        <w:t xml:space="preserve"> que la norm</w:t>
      </w:r>
      <w:r w:rsidRPr="00862128">
        <w:rPr>
          <w:rFonts w:ascii="Times New Roman" w:hAnsi="Times New Roman"/>
          <w:sz w:val="28"/>
          <w:szCs w:val="28"/>
        </w:rPr>
        <w:t>a no modifica el régimen de intereses, sino que lo reafirma. Además, señala que no existe trato diferenciado entre entidades vigiladas y no vigiladas por la Superintendencia Financiera, ya que estas últimas también están sujetas a vigilancia por otras auto</w:t>
      </w:r>
      <w:r w:rsidRPr="00862128">
        <w:rPr>
          <w:rFonts w:ascii="Times New Roman" w:hAnsi="Times New Roman"/>
          <w:sz w:val="28"/>
          <w:szCs w:val="28"/>
        </w:rPr>
        <w:t>ridades como la Superintendencia de la Economía Solidaria. Añade que las entidades financieras ejercen una actividad de interés público, lo que justifica un régimen normativo distinto. Respecto a la protección al consumidor, afirma que la norma no impone c</w:t>
      </w:r>
      <w:r w:rsidRPr="00862128">
        <w:rPr>
          <w:rFonts w:ascii="Times New Roman" w:hAnsi="Times New Roman"/>
          <w:sz w:val="28"/>
          <w:szCs w:val="28"/>
        </w:rPr>
        <w:t>argas adicionales ni vulnera derechos, y que el cobro de la firma electrónica como parte de los intereses solo sería relevante si se supera el límite legal, lo cual no se deriva directamente de la norma. Concluye que la norma no genera discriminación, no a</w:t>
      </w:r>
      <w:r w:rsidRPr="00862128">
        <w:rPr>
          <w:rFonts w:ascii="Times New Roman" w:hAnsi="Times New Roman"/>
          <w:sz w:val="28"/>
          <w:szCs w:val="28"/>
        </w:rPr>
        <w:t>fecta derechos fundamentales, no vulnera la libertad económica ni de empresa, y que los cargos formulados no fueron desarrollados suficientemente en la demanda</w:t>
      </w:r>
      <w:r w:rsidRPr="00862128">
        <w:rPr>
          <w:rFonts w:ascii="Times New Roman" w:hAnsi="Times New Roman"/>
          <w:sz w:val="28"/>
          <w:szCs w:val="28"/>
        </w:rPr>
        <w:t xml:space="preserve">, por lo cual, </w:t>
      </w:r>
      <w:r w:rsidRPr="00862128">
        <w:rPr>
          <w:rFonts w:ascii="Times New Roman" w:hAnsi="Times New Roman"/>
          <w:sz w:val="28"/>
          <w:szCs w:val="28"/>
        </w:rPr>
        <w:t>no cumplen con los requisitos jurisprudenciales para un pronunciamiento de fondo</w:t>
      </w:r>
      <w:r w:rsidRPr="00862128">
        <w:rPr>
          <w:rFonts w:ascii="Times New Roman" w:hAnsi="Times New Roman"/>
          <w:sz w:val="28"/>
          <w:szCs w:val="28"/>
        </w:rPr>
        <w:t>.</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41"/>
      </w:r>
    </w:p>
    <w:p w:rsidR="00943399"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224C7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Los ciudadanos </w:t>
      </w:r>
      <w:r w:rsidRPr="00862128">
        <w:rPr>
          <w:rFonts w:ascii="Times New Roman" w:hAnsi="Times New Roman"/>
          <w:sz w:val="28"/>
          <w:szCs w:val="28"/>
        </w:rPr>
        <w:t xml:space="preserve">Marcel Tangarife Torres y Andrea Sánchez Calvo, </w:t>
      </w:r>
      <w:r w:rsidRPr="00862128">
        <w:rPr>
          <w:rFonts w:ascii="Times New Roman" w:hAnsi="Times New Roman"/>
          <w:sz w:val="28"/>
          <w:szCs w:val="28"/>
        </w:rPr>
        <w:t>def</w:t>
      </w:r>
      <w:r w:rsidRPr="00862128">
        <w:rPr>
          <w:rFonts w:ascii="Times New Roman" w:hAnsi="Times New Roman"/>
          <w:sz w:val="28"/>
          <w:szCs w:val="28"/>
        </w:rPr>
        <w:t>endieron</w:t>
      </w:r>
      <w:r w:rsidRPr="00862128">
        <w:rPr>
          <w:rFonts w:ascii="Times New Roman" w:hAnsi="Times New Roman"/>
          <w:sz w:val="28"/>
          <w:szCs w:val="28"/>
        </w:rPr>
        <w:t xml:space="preserve"> </w:t>
      </w:r>
      <w:r w:rsidRPr="00862128">
        <w:rPr>
          <w:rFonts w:ascii="Times New Roman" w:hAnsi="Times New Roman"/>
          <w:sz w:val="28"/>
          <w:szCs w:val="28"/>
        </w:rPr>
        <w:t>la exequibilidad de la norma demandada y, en subsidio,</w:t>
      </w:r>
      <w:r w:rsidRPr="00862128">
        <w:rPr>
          <w:rFonts w:ascii="Times New Roman" w:hAnsi="Times New Roman"/>
          <w:sz w:val="28"/>
          <w:szCs w:val="28"/>
        </w:rPr>
        <w:t xml:space="preserve"> solicita</w:t>
      </w:r>
      <w:r w:rsidRPr="00862128">
        <w:rPr>
          <w:rFonts w:ascii="Times New Roman" w:hAnsi="Times New Roman"/>
          <w:sz w:val="28"/>
          <w:szCs w:val="28"/>
        </w:rPr>
        <w:t>ron</w:t>
      </w:r>
      <w:r w:rsidRPr="00862128">
        <w:rPr>
          <w:rFonts w:ascii="Times New Roman" w:hAnsi="Times New Roman"/>
          <w:sz w:val="28"/>
          <w:szCs w:val="28"/>
        </w:rPr>
        <w:t xml:space="preserve"> que </w:t>
      </w:r>
      <w:r w:rsidRPr="00862128">
        <w:rPr>
          <w:rFonts w:ascii="Times New Roman" w:hAnsi="Times New Roman"/>
          <w:sz w:val="28"/>
          <w:szCs w:val="28"/>
        </w:rPr>
        <w:t xml:space="preserve">la Corte </w:t>
      </w:r>
      <w:r w:rsidRPr="00862128">
        <w:rPr>
          <w:rFonts w:ascii="Times New Roman" w:hAnsi="Times New Roman"/>
          <w:sz w:val="28"/>
          <w:szCs w:val="28"/>
        </w:rPr>
        <w:t xml:space="preserve">se </w:t>
      </w:r>
      <w:r w:rsidRPr="00862128">
        <w:rPr>
          <w:rFonts w:ascii="Times New Roman" w:hAnsi="Times New Roman"/>
          <w:sz w:val="28"/>
          <w:szCs w:val="28"/>
        </w:rPr>
        <w:t>inhib</w:t>
      </w:r>
      <w:r w:rsidRPr="00862128">
        <w:rPr>
          <w:rFonts w:ascii="Times New Roman" w:hAnsi="Times New Roman"/>
          <w:sz w:val="28"/>
          <w:szCs w:val="28"/>
        </w:rPr>
        <w:t xml:space="preserve">a de pronunciarse </w:t>
      </w:r>
      <w:r w:rsidRPr="00862128">
        <w:rPr>
          <w:rFonts w:ascii="Times New Roman" w:hAnsi="Times New Roman"/>
          <w:sz w:val="28"/>
          <w:szCs w:val="28"/>
        </w:rPr>
        <w:t>respecto de los cargos por los artículos 78 y 333 de la Constitución</w:t>
      </w:r>
      <w:r w:rsidRPr="00862128">
        <w:rPr>
          <w:rFonts w:ascii="Times New Roman" w:hAnsi="Times New Roman"/>
          <w:sz w:val="28"/>
          <w:szCs w:val="28"/>
        </w:rPr>
        <w:t xml:space="preserve">, </w:t>
      </w:r>
      <w:r w:rsidRPr="00862128">
        <w:rPr>
          <w:rFonts w:ascii="Times New Roman" w:hAnsi="Times New Roman"/>
          <w:sz w:val="28"/>
          <w:szCs w:val="28"/>
        </w:rPr>
        <w:t>por incumplimiento de los requisitos argumentativos mínimos.</w:t>
      </w:r>
      <w:r w:rsidRPr="00862128">
        <w:rPr>
          <w:rFonts w:ascii="Times New Roman" w:hAnsi="Times New Roman"/>
          <w:sz w:val="28"/>
          <w:szCs w:val="28"/>
        </w:rPr>
        <w:t xml:space="preserve"> </w:t>
      </w:r>
      <w:r w:rsidRPr="00862128">
        <w:rPr>
          <w:rFonts w:ascii="Times New Roman" w:hAnsi="Times New Roman"/>
          <w:sz w:val="28"/>
          <w:szCs w:val="28"/>
        </w:rPr>
        <w:t>Argumenta</w:t>
      </w:r>
      <w:r w:rsidRPr="00862128">
        <w:rPr>
          <w:rFonts w:ascii="Times New Roman" w:hAnsi="Times New Roman"/>
          <w:sz w:val="28"/>
          <w:szCs w:val="28"/>
        </w:rPr>
        <w:t>ron</w:t>
      </w:r>
      <w:r w:rsidRPr="00862128">
        <w:rPr>
          <w:rFonts w:ascii="Times New Roman" w:hAnsi="Times New Roman"/>
          <w:sz w:val="28"/>
          <w:szCs w:val="28"/>
        </w:rPr>
        <w:t xml:space="preserve"> que </w:t>
      </w:r>
      <w:r w:rsidRPr="00862128">
        <w:rPr>
          <w:rFonts w:ascii="Times New Roman" w:hAnsi="Times New Roman"/>
          <w:sz w:val="28"/>
          <w:szCs w:val="28"/>
        </w:rPr>
        <w:t xml:space="preserve">con la norma </w:t>
      </w:r>
      <w:r w:rsidRPr="00862128">
        <w:rPr>
          <w:rFonts w:ascii="Times New Roman" w:hAnsi="Times New Roman"/>
          <w:sz w:val="28"/>
          <w:szCs w:val="28"/>
        </w:rPr>
        <w:t xml:space="preserve">no se vulnera el principio de igualdad, pues las </w:t>
      </w:r>
      <w:r w:rsidRPr="00862128">
        <w:rPr>
          <w:rFonts w:ascii="Times New Roman" w:hAnsi="Times New Roman"/>
          <w:sz w:val="28"/>
          <w:szCs w:val="28"/>
        </w:rPr>
        <w:t xml:space="preserve">Fintech </w:t>
      </w:r>
      <w:r w:rsidRPr="00862128">
        <w:rPr>
          <w:rFonts w:ascii="Times New Roman" w:hAnsi="Times New Roman"/>
          <w:sz w:val="28"/>
          <w:szCs w:val="28"/>
        </w:rPr>
        <w:t>y las entidades financieras tradicionales no son comparables, pues operan en segmentos distintos del mercado</w:t>
      </w:r>
      <w:r w:rsidRPr="00862128">
        <w:rPr>
          <w:rFonts w:ascii="Times New Roman" w:hAnsi="Times New Roman"/>
          <w:sz w:val="28"/>
          <w:szCs w:val="28"/>
        </w:rPr>
        <w:t>, tienen objetos sociales diferentes, están sujetas a regímenes normativos diferenciados y están sometidas a control y vigilancia por autoridades diferentes. La norma permite al consumidor elegir entre mecanismos tecnológicos o físicos para la autenticació</w:t>
      </w:r>
      <w:r w:rsidRPr="00862128">
        <w:rPr>
          <w:rFonts w:ascii="Times New Roman" w:hAnsi="Times New Roman"/>
          <w:sz w:val="28"/>
          <w:szCs w:val="28"/>
        </w:rPr>
        <w:t xml:space="preserve">n, lo que garantiza transparencia, autonomía y acceso a crédito en condiciones más flexibles. </w:t>
      </w:r>
    </w:p>
    <w:p w:rsidR="00224C73" w:rsidRPr="00862128" w:rsidRDefault="00862128" w:rsidP="003664DF">
      <w:pPr>
        <w:pStyle w:val="Prrafodelista"/>
        <w:rPr>
          <w:rFonts w:ascii="Times New Roman" w:hAnsi="Times New Roman"/>
          <w:sz w:val="28"/>
          <w:szCs w:val="28"/>
        </w:rPr>
      </w:pPr>
    </w:p>
    <w:p w:rsidR="00B91CA7"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Consideraron</w:t>
      </w:r>
      <w:r w:rsidRPr="00862128">
        <w:rPr>
          <w:rFonts w:ascii="Times New Roman" w:hAnsi="Times New Roman"/>
          <w:sz w:val="28"/>
          <w:szCs w:val="28"/>
        </w:rPr>
        <w:t xml:space="preserve"> que la firma electrónica no es obligatoria ni esencial, y que su exclusión evita que se superen los límites legales de tasa de usura. </w:t>
      </w:r>
      <w:r w:rsidRPr="00862128">
        <w:rPr>
          <w:rFonts w:ascii="Times New Roman" w:hAnsi="Times New Roman"/>
          <w:sz w:val="28"/>
          <w:szCs w:val="28"/>
        </w:rPr>
        <w:t>Indica</w:t>
      </w:r>
      <w:r w:rsidRPr="00862128">
        <w:rPr>
          <w:rFonts w:ascii="Times New Roman" w:hAnsi="Times New Roman"/>
          <w:sz w:val="28"/>
          <w:szCs w:val="28"/>
        </w:rPr>
        <w:t xml:space="preserve">ron </w:t>
      </w:r>
      <w:r w:rsidRPr="00862128">
        <w:rPr>
          <w:rFonts w:ascii="Times New Roman" w:hAnsi="Times New Roman"/>
          <w:sz w:val="28"/>
          <w:szCs w:val="28"/>
        </w:rPr>
        <w:t xml:space="preserve"> </w:t>
      </w:r>
      <w:r w:rsidRPr="00862128">
        <w:rPr>
          <w:rFonts w:ascii="Times New Roman" w:hAnsi="Times New Roman"/>
          <w:sz w:val="28"/>
          <w:szCs w:val="28"/>
        </w:rPr>
        <w:t>qu</w:t>
      </w:r>
      <w:r w:rsidRPr="00862128">
        <w:rPr>
          <w:rFonts w:ascii="Times New Roman" w:hAnsi="Times New Roman"/>
          <w:sz w:val="28"/>
          <w:szCs w:val="28"/>
        </w:rPr>
        <w:t xml:space="preserve">e </w:t>
      </w:r>
      <w:r w:rsidRPr="00862128">
        <w:rPr>
          <w:rFonts w:ascii="Times New Roman" w:hAnsi="Times New Roman"/>
          <w:sz w:val="28"/>
          <w:szCs w:val="28"/>
        </w:rPr>
        <w:t>la norma no introduce una discriminación artificial fundada únicamente en el régimen de inspección y control, sino que, por el contrario, beneficia a los consumidores brindándoles mayor acceso a crédito con total información y transparencia sobre los cos</w:t>
      </w:r>
      <w:r w:rsidRPr="00862128">
        <w:rPr>
          <w:rFonts w:ascii="Times New Roman" w:hAnsi="Times New Roman"/>
          <w:sz w:val="28"/>
          <w:szCs w:val="28"/>
        </w:rPr>
        <w:t>tos administrativos auxiliares. Advirt</w:t>
      </w:r>
      <w:r w:rsidRPr="00862128">
        <w:rPr>
          <w:rFonts w:ascii="Times New Roman" w:hAnsi="Times New Roman"/>
          <w:sz w:val="28"/>
          <w:szCs w:val="28"/>
        </w:rPr>
        <w:t>i</w:t>
      </w:r>
      <w:r w:rsidRPr="00862128">
        <w:rPr>
          <w:rFonts w:ascii="Times New Roman" w:hAnsi="Times New Roman"/>
          <w:sz w:val="28"/>
          <w:szCs w:val="28"/>
        </w:rPr>
        <w:t>e</w:t>
      </w:r>
      <w:r w:rsidRPr="00862128">
        <w:rPr>
          <w:rFonts w:ascii="Times New Roman" w:hAnsi="Times New Roman"/>
          <w:sz w:val="28"/>
          <w:szCs w:val="28"/>
        </w:rPr>
        <w:t>ro</w:t>
      </w:r>
      <w:r w:rsidRPr="00862128">
        <w:rPr>
          <w:rFonts w:ascii="Times New Roman" w:hAnsi="Times New Roman"/>
          <w:sz w:val="28"/>
          <w:szCs w:val="28"/>
        </w:rPr>
        <w:t>n que declarar la inexequibilidad generaría efectos adversos como distorsión del mercado de microcrédito digital, penalización de la innovación y retorno al crédito informal. Resalta</w:t>
      </w:r>
      <w:r w:rsidRPr="00862128">
        <w:rPr>
          <w:rFonts w:ascii="Times New Roman" w:hAnsi="Times New Roman"/>
          <w:sz w:val="28"/>
          <w:szCs w:val="28"/>
        </w:rPr>
        <w:t>ron</w:t>
      </w:r>
      <w:r w:rsidRPr="00862128">
        <w:rPr>
          <w:rFonts w:ascii="Times New Roman" w:hAnsi="Times New Roman"/>
          <w:sz w:val="28"/>
          <w:szCs w:val="28"/>
        </w:rPr>
        <w:t xml:space="preserve"> que la norma fue producto de un proceso legislativo que incluyó el análisis de objeciones gubernamentales y que su finalidad es proteger al consumidor en el comercio electrónico.</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42"/>
      </w:r>
    </w:p>
    <w:p w:rsidR="00E15467" w:rsidRPr="00862128" w:rsidRDefault="00862128" w:rsidP="00BE5143">
      <w:pPr>
        <w:pStyle w:val="Prrafodelista"/>
        <w:rPr>
          <w:rFonts w:ascii="Times New Roman" w:hAnsi="Times New Roman"/>
          <w:b/>
          <w:bCs/>
          <w:sz w:val="28"/>
          <w:szCs w:val="28"/>
        </w:rPr>
      </w:pPr>
    </w:p>
    <w:p w:rsidR="00224C7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El ciudadano </w:t>
      </w:r>
      <w:r w:rsidRPr="00862128">
        <w:rPr>
          <w:rFonts w:ascii="Times New Roman" w:hAnsi="Times New Roman"/>
          <w:sz w:val="28"/>
          <w:szCs w:val="28"/>
        </w:rPr>
        <w:t xml:space="preserve">Edward David Rodríguez Rodríguez </w:t>
      </w:r>
      <w:r w:rsidRPr="00862128">
        <w:rPr>
          <w:rFonts w:ascii="Times New Roman" w:hAnsi="Times New Roman"/>
          <w:sz w:val="28"/>
          <w:szCs w:val="28"/>
        </w:rPr>
        <w:t>defendió</w:t>
      </w:r>
      <w:r w:rsidRPr="00862128">
        <w:rPr>
          <w:rFonts w:ascii="Times New Roman" w:hAnsi="Times New Roman"/>
          <w:sz w:val="28"/>
          <w:szCs w:val="28"/>
        </w:rPr>
        <w:t xml:space="preserve"> la constitucionali</w:t>
      </w:r>
      <w:r w:rsidRPr="00862128">
        <w:rPr>
          <w:rFonts w:ascii="Times New Roman" w:hAnsi="Times New Roman"/>
          <w:sz w:val="28"/>
          <w:szCs w:val="28"/>
        </w:rPr>
        <w:t>dad de</w:t>
      </w:r>
      <w:r w:rsidRPr="00862128">
        <w:rPr>
          <w:rFonts w:ascii="Times New Roman" w:hAnsi="Times New Roman"/>
          <w:sz w:val="28"/>
          <w:szCs w:val="28"/>
        </w:rPr>
        <w:t xml:space="preserve"> la norma acusada, al considerar que promueve la inclusión financiera, la protección del consumidor digital y la libertad de elección. Argument</w:t>
      </w:r>
      <w:r w:rsidRPr="00862128">
        <w:rPr>
          <w:rFonts w:ascii="Times New Roman" w:hAnsi="Times New Roman"/>
          <w:sz w:val="28"/>
          <w:szCs w:val="28"/>
        </w:rPr>
        <w:t>ó</w:t>
      </w:r>
      <w:r w:rsidRPr="00862128">
        <w:rPr>
          <w:rFonts w:ascii="Times New Roman" w:hAnsi="Times New Roman"/>
          <w:sz w:val="28"/>
          <w:szCs w:val="28"/>
        </w:rPr>
        <w:t xml:space="preserve"> que la </w:t>
      </w:r>
      <w:r w:rsidRPr="00862128">
        <w:rPr>
          <w:rFonts w:ascii="Times New Roman" w:hAnsi="Times New Roman"/>
          <w:sz w:val="28"/>
          <w:szCs w:val="28"/>
        </w:rPr>
        <w:t>norma</w:t>
      </w:r>
      <w:r w:rsidRPr="00862128">
        <w:rPr>
          <w:rFonts w:ascii="Times New Roman" w:hAnsi="Times New Roman"/>
          <w:sz w:val="28"/>
          <w:szCs w:val="28"/>
        </w:rPr>
        <w:t xml:space="preserve"> </w:t>
      </w:r>
      <w:r w:rsidRPr="00862128">
        <w:rPr>
          <w:rFonts w:ascii="Times New Roman" w:hAnsi="Times New Roman"/>
          <w:sz w:val="28"/>
          <w:szCs w:val="28"/>
        </w:rPr>
        <w:t>demandada</w:t>
      </w:r>
      <w:r w:rsidRPr="00862128">
        <w:rPr>
          <w:rFonts w:ascii="Times New Roman" w:hAnsi="Times New Roman"/>
          <w:sz w:val="28"/>
          <w:szCs w:val="28"/>
        </w:rPr>
        <w:t xml:space="preserve"> no introduce discriminaciones arbitrarias, sino que establece condiciones claras y</w:t>
      </w:r>
      <w:r w:rsidRPr="00862128">
        <w:rPr>
          <w:rFonts w:ascii="Times New Roman" w:hAnsi="Times New Roman"/>
          <w:sz w:val="28"/>
          <w:szCs w:val="28"/>
        </w:rPr>
        <w:t xml:space="preserve"> transparentes para el uso de tecnologías como la firma electrónica en operaciones de crédito digital. </w:t>
      </w:r>
    </w:p>
    <w:p w:rsidR="00224C73" w:rsidRPr="00862128" w:rsidRDefault="00862128" w:rsidP="003664DF">
      <w:pPr>
        <w:pStyle w:val="Prrafodelista"/>
        <w:rPr>
          <w:rFonts w:ascii="Times New Roman" w:hAnsi="Times New Roman"/>
          <w:sz w:val="28"/>
          <w:szCs w:val="28"/>
        </w:rPr>
      </w:pPr>
    </w:p>
    <w:p w:rsidR="00224C7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Sost</w:t>
      </w:r>
      <w:r w:rsidRPr="00862128">
        <w:rPr>
          <w:rFonts w:ascii="Times New Roman" w:hAnsi="Times New Roman"/>
          <w:sz w:val="28"/>
          <w:szCs w:val="28"/>
        </w:rPr>
        <w:t>uvo</w:t>
      </w:r>
      <w:r w:rsidRPr="00862128">
        <w:rPr>
          <w:rFonts w:ascii="Times New Roman" w:hAnsi="Times New Roman"/>
          <w:sz w:val="28"/>
          <w:szCs w:val="28"/>
        </w:rPr>
        <w:t xml:space="preserve"> que la firma electrónica no constituye un interés, ya que no representa una contraprestación por el uso del capital, sino un mecanismo de auten</w:t>
      </w:r>
      <w:r w:rsidRPr="00862128">
        <w:rPr>
          <w:rFonts w:ascii="Times New Roman" w:hAnsi="Times New Roman"/>
          <w:sz w:val="28"/>
          <w:szCs w:val="28"/>
        </w:rPr>
        <w:t>ticación voluntario, cuyo costo recae sobre el consumidor y no genera ingresos para el acreedor.</w:t>
      </w:r>
      <w:r w:rsidRPr="00862128">
        <w:rPr>
          <w:rFonts w:ascii="Times New Roman" w:hAnsi="Times New Roman"/>
          <w:sz w:val="28"/>
          <w:szCs w:val="28"/>
        </w:rPr>
        <w:t xml:space="preserve"> D</w:t>
      </w:r>
      <w:r w:rsidRPr="00862128">
        <w:rPr>
          <w:rFonts w:ascii="Times New Roman" w:hAnsi="Times New Roman"/>
          <w:sz w:val="28"/>
          <w:szCs w:val="28"/>
        </w:rPr>
        <w:t>estac</w:t>
      </w:r>
      <w:r w:rsidRPr="00862128">
        <w:rPr>
          <w:rFonts w:ascii="Times New Roman" w:hAnsi="Times New Roman"/>
          <w:sz w:val="28"/>
          <w:szCs w:val="28"/>
        </w:rPr>
        <w:t>ó</w:t>
      </w:r>
      <w:r w:rsidRPr="00862128">
        <w:rPr>
          <w:rFonts w:ascii="Times New Roman" w:hAnsi="Times New Roman"/>
          <w:sz w:val="28"/>
          <w:szCs w:val="28"/>
        </w:rPr>
        <w:t xml:space="preserve"> que la norma se ajusta al marco jurídico vigente, en especial al artículo 68 de la Ley 45 de 1990 y, que su interpretación ha sido respaldada por la ju</w:t>
      </w:r>
      <w:r w:rsidRPr="00862128">
        <w:rPr>
          <w:rFonts w:ascii="Times New Roman" w:hAnsi="Times New Roman"/>
          <w:sz w:val="28"/>
          <w:szCs w:val="28"/>
        </w:rPr>
        <w:t>risprudencia y la doctrina administrativa. Añad</w:t>
      </w:r>
      <w:r w:rsidRPr="00862128">
        <w:rPr>
          <w:rFonts w:ascii="Times New Roman" w:hAnsi="Times New Roman"/>
          <w:sz w:val="28"/>
          <w:szCs w:val="28"/>
        </w:rPr>
        <w:t>ió</w:t>
      </w:r>
      <w:r w:rsidRPr="00862128">
        <w:rPr>
          <w:rFonts w:ascii="Times New Roman" w:hAnsi="Times New Roman"/>
          <w:sz w:val="28"/>
          <w:szCs w:val="28"/>
        </w:rPr>
        <w:t xml:space="preserve"> que la exclusión de la firma electrónica del concepto de intereses es coherente con la finalidad probatoria y de seguridad jurídica de dicho mecanismo, y que su uso no es obligatorio, pues el consumidor pue</w:t>
      </w:r>
      <w:r w:rsidRPr="00862128">
        <w:rPr>
          <w:rFonts w:ascii="Times New Roman" w:hAnsi="Times New Roman"/>
          <w:sz w:val="28"/>
          <w:szCs w:val="28"/>
        </w:rPr>
        <w:t xml:space="preserve">de optar por otros medios de autenticación. </w:t>
      </w:r>
    </w:p>
    <w:p w:rsidR="00224C73" w:rsidRPr="00862128" w:rsidRDefault="00862128" w:rsidP="003664DF">
      <w:pPr>
        <w:pStyle w:val="Prrafodelista"/>
        <w:rPr>
          <w:rFonts w:ascii="Times New Roman" w:hAnsi="Times New Roman"/>
          <w:sz w:val="28"/>
          <w:szCs w:val="28"/>
        </w:rPr>
      </w:pPr>
    </w:p>
    <w:p w:rsidR="002A0C76"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Señaló</w:t>
      </w:r>
      <w:r w:rsidRPr="00862128">
        <w:rPr>
          <w:rFonts w:ascii="Times New Roman" w:hAnsi="Times New Roman"/>
          <w:sz w:val="28"/>
          <w:szCs w:val="28"/>
        </w:rPr>
        <w:t xml:space="preserve"> que declarar la inconstitucionalidad de la norma afectaría negativamente la viabilidad del modelo Fintech, encarecería el crédito digital y podría fomentar el crecimiento del crédito informal. Concluy</w:t>
      </w:r>
      <w:r w:rsidRPr="00862128">
        <w:rPr>
          <w:rFonts w:ascii="Times New Roman" w:hAnsi="Times New Roman"/>
          <w:sz w:val="28"/>
          <w:szCs w:val="28"/>
        </w:rPr>
        <w:t>ó</w:t>
      </w:r>
      <w:r w:rsidRPr="00862128">
        <w:rPr>
          <w:rFonts w:ascii="Times New Roman" w:hAnsi="Times New Roman"/>
          <w:sz w:val="28"/>
          <w:szCs w:val="28"/>
        </w:rPr>
        <w:t xml:space="preserve"> que la norma demandada fortalece la equidad en el acceso al crédito formal y no vulnera los derechos constitucionales invocados por </w:t>
      </w:r>
      <w:r w:rsidRPr="00862128">
        <w:rPr>
          <w:rFonts w:ascii="Times New Roman" w:hAnsi="Times New Roman"/>
          <w:sz w:val="28"/>
          <w:szCs w:val="28"/>
        </w:rPr>
        <w:t>e</w:t>
      </w:r>
      <w:r w:rsidRPr="00862128">
        <w:rPr>
          <w:rFonts w:ascii="Times New Roman" w:hAnsi="Times New Roman"/>
          <w:sz w:val="28"/>
          <w:szCs w:val="28"/>
        </w:rPr>
        <w:t>l demandante</w:t>
      </w:r>
      <w:r w:rsidRPr="00862128">
        <w:rPr>
          <w:rFonts w:ascii="Times New Roman" w:hAnsi="Times New Roman"/>
          <w:sz w:val="28"/>
          <w:szCs w:val="28"/>
        </w:rPr>
        <w:t>.</w:t>
      </w:r>
    </w:p>
    <w:p w:rsidR="002A0C76"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224C7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Para </w:t>
      </w:r>
      <w:r w:rsidRPr="00862128">
        <w:rPr>
          <w:rFonts w:ascii="Times New Roman" w:hAnsi="Times New Roman"/>
          <w:sz w:val="28"/>
          <w:szCs w:val="28"/>
        </w:rPr>
        <w:t xml:space="preserve">el ciudadano </w:t>
      </w:r>
      <w:r w:rsidRPr="00862128">
        <w:rPr>
          <w:rFonts w:ascii="Times New Roman" w:hAnsi="Times New Roman"/>
          <w:sz w:val="28"/>
          <w:szCs w:val="28"/>
        </w:rPr>
        <w:t xml:space="preserve">Alejandro Linares Cantillo, </w:t>
      </w:r>
      <w:r w:rsidRPr="00862128">
        <w:rPr>
          <w:rFonts w:ascii="Times New Roman" w:hAnsi="Times New Roman"/>
          <w:sz w:val="28"/>
          <w:szCs w:val="28"/>
        </w:rPr>
        <w:t>la norma debe ser declarada ex</w:t>
      </w:r>
      <w:r w:rsidRPr="00862128">
        <w:rPr>
          <w:rFonts w:ascii="Times New Roman" w:hAnsi="Times New Roman"/>
          <w:sz w:val="28"/>
          <w:szCs w:val="28"/>
        </w:rPr>
        <w:t>equib</w:t>
      </w:r>
      <w:r w:rsidRPr="00862128">
        <w:rPr>
          <w:rFonts w:ascii="Times New Roman" w:hAnsi="Times New Roman"/>
          <w:sz w:val="28"/>
          <w:szCs w:val="28"/>
        </w:rPr>
        <w:t>le</w:t>
      </w:r>
      <w:r w:rsidRPr="00862128">
        <w:rPr>
          <w:rFonts w:ascii="Times New Roman" w:hAnsi="Times New Roman"/>
          <w:b/>
          <w:bCs/>
          <w:sz w:val="28"/>
          <w:szCs w:val="28"/>
        </w:rPr>
        <w:t xml:space="preserve"> </w:t>
      </w:r>
      <w:r w:rsidRPr="00862128">
        <w:rPr>
          <w:rFonts w:ascii="Times New Roman" w:hAnsi="Times New Roman"/>
          <w:sz w:val="28"/>
          <w:szCs w:val="28"/>
        </w:rPr>
        <w:t>por</w:t>
      </w:r>
      <w:r w:rsidRPr="00862128">
        <w:rPr>
          <w:rFonts w:ascii="Times New Roman" w:hAnsi="Times New Roman"/>
          <w:sz w:val="28"/>
          <w:szCs w:val="28"/>
        </w:rPr>
        <w:t xml:space="preserve">que la exclusión de </w:t>
      </w:r>
      <w:r w:rsidRPr="00862128">
        <w:rPr>
          <w:rFonts w:ascii="Times New Roman" w:hAnsi="Times New Roman"/>
          <w:sz w:val="28"/>
          <w:szCs w:val="28"/>
        </w:rPr>
        <w:t>la firma electrónica del cómputo de intereses promueve la transparencia, la protección al consumidor y la libre elección, al exigir que los costos tecnológicos sean informados de manera discriminada y facultativa</w:t>
      </w:r>
      <w:r w:rsidRPr="00862128">
        <w:rPr>
          <w:rFonts w:ascii="Times New Roman" w:hAnsi="Times New Roman"/>
          <w:sz w:val="28"/>
          <w:szCs w:val="28"/>
        </w:rPr>
        <w:t xml:space="preserve"> y, </w:t>
      </w:r>
      <w:r w:rsidRPr="00862128">
        <w:rPr>
          <w:rFonts w:ascii="Times New Roman" w:hAnsi="Times New Roman"/>
          <w:sz w:val="28"/>
          <w:szCs w:val="28"/>
        </w:rPr>
        <w:t>se ajusta al artículo 68 de la Ley 45 de</w:t>
      </w:r>
      <w:r w:rsidRPr="00862128">
        <w:rPr>
          <w:rFonts w:ascii="Times New Roman" w:hAnsi="Times New Roman"/>
          <w:sz w:val="28"/>
          <w:szCs w:val="28"/>
        </w:rPr>
        <w:t xml:space="preserve"> 1990, ya que la firma electrónica no constituye una contraprestación por el uso del capital, sino un mecanismo tecnológico de autenticación documental que puede ser sustituido por medios físicos sin costo adicional. </w:t>
      </w:r>
    </w:p>
    <w:p w:rsidR="00224C73" w:rsidRPr="00862128" w:rsidRDefault="00862128" w:rsidP="003664DF">
      <w:pPr>
        <w:pStyle w:val="Prrafodelista"/>
        <w:rPr>
          <w:rFonts w:ascii="Times New Roman" w:hAnsi="Times New Roman"/>
          <w:sz w:val="28"/>
          <w:szCs w:val="28"/>
        </w:rPr>
      </w:pPr>
    </w:p>
    <w:p w:rsidR="00537E9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Explic</w:t>
      </w:r>
      <w:r w:rsidRPr="00862128">
        <w:rPr>
          <w:rFonts w:ascii="Times New Roman" w:hAnsi="Times New Roman"/>
          <w:sz w:val="28"/>
          <w:szCs w:val="28"/>
        </w:rPr>
        <w:t>ó</w:t>
      </w:r>
      <w:r w:rsidRPr="00862128">
        <w:rPr>
          <w:rFonts w:ascii="Times New Roman" w:hAnsi="Times New Roman"/>
          <w:sz w:val="28"/>
          <w:szCs w:val="28"/>
        </w:rPr>
        <w:t xml:space="preserve"> que la firma electrónica cumple una función instrumental, no financiera y</w:t>
      </w:r>
      <w:r w:rsidRPr="00862128">
        <w:rPr>
          <w:rFonts w:ascii="Times New Roman" w:hAnsi="Times New Roman"/>
          <w:sz w:val="28"/>
          <w:szCs w:val="28"/>
        </w:rPr>
        <w:t>,</w:t>
      </w:r>
      <w:r w:rsidRPr="00862128">
        <w:rPr>
          <w:rFonts w:ascii="Times New Roman" w:hAnsi="Times New Roman"/>
          <w:sz w:val="28"/>
          <w:szCs w:val="28"/>
        </w:rPr>
        <w:t xml:space="preserve"> que su uso no genera perjuicios en caso de incumplimiento del crédito, lo que refuerza su carácter no reputado como interés. Además, argument</w:t>
      </w:r>
      <w:r w:rsidRPr="00862128">
        <w:rPr>
          <w:rFonts w:ascii="Times New Roman" w:hAnsi="Times New Roman"/>
          <w:sz w:val="28"/>
          <w:szCs w:val="28"/>
        </w:rPr>
        <w:t>ó</w:t>
      </w:r>
      <w:r w:rsidRPr="00862128">
        <w:rPr>
          <w:rFonts w:ascii="Times New Roman" w:hAnsi="Times New Roman"/>
          <w:sz w:val="28"/>
          <w:szCs w:val="28"/>
        </w:rPr>
        <w:t xml:space="preserve"> que las entidades no vigiladas, como </w:t>
      </w:r>
      <w:r w:rsidRPr="00862128">
        <w:rPr>
          <w:rFonts w:ascii="Times New Roman" w:hAnsi="Times New Roman"/>
          <w:sz w:val="28"/>
          <w:szCs w:val="28"/>
        </w:rPr>
        <w:t>las Fintech, enfrentan condiciones operativas, regulatorias y de fondeo distintas a las entidades vigiladas por la Superintendencia Financiera, lo que justifica un tratamiento normativo diferenciado. Indic</w:t>
      </w:r>
      <w:r w:rsidRPr="00862128">
        <w:rPr>
          <w:rFonts w:ascii="Times New Roman" w:hAnsi="Times New Roman"/>
          <w:sz w:val="28"/>
          <w:szCs w:val="28"/>
        </w:rPr>
        <w:t>ó</w:t>
      </w:r>
      <w:r w:rsidRPr="00862128">
        <w:rPr>
          <w:rFonts w:ascii="Times New Roman" w:hAnsi="Times New Roman"/>
          <w:sz w:val="28"/>
          <w:szCs w:val="28"/>
        </w:rPr>
        <w:t xml:space="preserve"> que estas entidades no captan ahorro del público </w:t>
      </w:r>
      <w:r w:rsidRPr="00862128">
        <w:rPr>
          <w:rFonts w:ascii="Times New Roman" w:hAnsi="Times New Roman"/>
          <w:sz w:val="28"/>
          <w:szCs w:val="28"/>
        </w:rPr>
        <w:t xml:space="preserve">y deben asumir mayores costos tecnológicos, por lo que excluir la firma electrónica del cómputo de intereses permite equilibrar las cargas operativas y fomentar la competencia. Finalmente, </w:t>
      </w:r>
      <w:r w:rsidRPr="00862128">
        <w:rPr>
          <w:rFonts w:ascii="Times New Roman" w:hAnsi="Times New Roman"/>
          <w:sz w:val="28"/>
          <w:szCs w:val="28"/>
        </w:rPr>
        <w:t>puso de presente</w:t>
      </w:r>
      <w:r w:rsidRPr="00862128">
        <w:rPr>
          <w:rFonts w:ascii="Times New Roman" w:hAnsi="Times New Roman"/>
          <w:sz w:val="28"/>
          <w:szCs w:val="28"/>
        </w:rPr>
        <w:t xml:space="preserve"> que declarar inexequible la norma tendría efectos </w:t>
      </w:r>
      <w:r w:rsidRPr="00862128">
        <w:rPr>
          <w:rFonts w:ascii="Times New Roman" w:hAnsi="Times New Roman"/>
          <w:sz w:val="28"/>
          <w:szCs w:val="28"/>
        </w:rPr>
        <w:t>regresivos, encarecería el crédito digital, afectaría la inclusión financiera y desincentivaría el uso de tecnologías que facilitan la formalización contractual en entornos digitales.</w:t>
      </w:r>
    </w:p>
    <w:p w:rsidR="00537E93"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224C7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El ciudadano </w:t>
      </w:r>
      <w:r w:rsidRPr="00862128">
        <w:rPr>
          <w:rFonts w:ascii="Times New Roman" w:hAnsi="Times New Roman"/>
          <w:sz w:val="28"/>
          <w:szCs w:val="28"/>
        </w:rPr>
        <w:t>Juan Pablo López Pérez, solicit</w:t>
      </w:r>
      <w:r w:rsidRPr="00862128">
        <w:rPr>
          <w:rFonts w:ascii="Times New Roman" w:hAnsi="Times New Roman"/>
          <w:sz w:val="28"/>
          <w:szCs w:val="28"/>
        </w:rPr>
        <w:t>ó que</w:t>
      </w:r>
      <w:r w:rsidRPr="00862128">
        <w:rPr>
          <w:rFonts w:ascii="Times New Roman" w:hAnsi="Times New Roman"/>
          <w:sz w:val="28"/>
          <w:szCs w:val="28"/>
        </w:rPr>
        <w:t xml:space="preserve"> se declare la exequib</w:t>
      </w:r>
      <w:r w:rsidRPr="00862128">
        <w:rPr>
          <w:rFonts w:ascii="Times New Roman" w:hAnsi="Times New Roman"/>
          <w:sz w:val="28"/>
          <w:szCs w:val="28"/>
        </w:rPr>
        <w:t>ilidad de la expresión “firma electrónica” y plante</w:t>
      </w:r>
      <w:r w:rsidRPr="00862128">
        <w:rPr>
          <w:rFonts w:ascii="Times New Roman" w:hAnsi="Times New Roman"/>
          <w:sz w:val="28"/>
          <w:szCs w:val="28"/>
        </w:rPr>
        <w:t>ó</w:t>
      </w:r>
      <w:r w:rsidRPr="00862128">
        <w:rPr>
          <w:rFonts w:ascii="Times New Roman" w:hAnsi="Times New Roman"/>
          <w:sz w:val="28"/>
          <w:szCs w:val="28"/>
        </w:rPr>
        <w:t xml:space="preserve"> como pretensión subsidiaria su exequibilidad condicionada, toda vez que el aparte demandado es aplicable a otras entidades vigiladas, siempre que se cumplan los deberes reforzados de información, transpa</w:t>
      </w:r>
      <w:r w:rsidRPr="00862128">
        <w:rPr>
          <w:rFonts w:ascii="Times New Roman" w:hAnsi="Times New Roman"/>
          <w:sz w:val="28"/>
          <w:szCs w:val="28"/>
        </w:rPr>
        <w:t>rencia y consentimiento del consumidor. Argument</w:t>
      </w:r>
      <w:r w:rsidRPr="00862128">
        <w:rPr>
          <w:rFonts w:ascii="Times New Roman" w:hAnsi="Times New Roman"/>
          <w:sz w:val="28"/>
          <w:szCs w:val="28"/>
        </w:rPr>
        <w:t>ó</w:t>
      </w:r>
      <w:r w:rsidRPr="00862128">
        <w:rPr>
          <w:rFonts w:ascii="Times New Roman" w:hAnsi="Times New Roman"/>
          <w:sz w:val="28"/>
          <w:szCs w:val="28"/>
        </w:rPr>
        <w:t xml:space="preserve"> que no vulnera el principio de igualdad, ya que las entidades vigiladas por la Superintendencia Financiera y las no vigiladas operan bajo regímenes jurídicos, estructuras de fondeo y modelos de negocio dist</w:t>
      </w:r>
      <w:r w:rsidRPr="00862128">
        <w:rPr>
          <w:rFonts w:ascii="Times New Roman" w:hAnsi="Times New Roman"/>
          <w:sz w:val="28"/>
          <w:szCs w:val="28"/>
        </w:rPr>
        <w:t>intos. Señala que las entidades no vigiladas, como las Fintech, no captan ahorro del público, enfrentan mayores costos tecnológicos y atienden a consumidores hipervulnerables, lo que justifica un tratamiento normativo diferenciado.</w:t>
      </w:r>
    </w:p>
    <w:p w:rsidR="00224C73" w:rsidRPr="00862128" w:rsidRDefault="00862128" w:rsidP="003664DF">
      <w:pPr>
        <w:pStyle w:val="Prrafodelista"/>
        <w:rPr>
          <w:rFonts w:ascii="Times New Roman" w:hAnsi="Times New Roman"/>
          <w:sz w:val="28"/>
          <w:szCs w:val="28"/>
        </w:rPr>
      </w:pPr>
    </w:p>
    <w:p w:rsidR="00B324FF"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Para </w:t>
      </w:r>
      <w:r w:rsidRPr="00862128">
        <w:rPr>
          <w:rFonts w:ascii="Times New Roman" w:hAnsi="Times New Roman"/>
          <w:sz w:val="28"/>
          <w:szCs w:val="28"/>
        </w:rPr>
        <w:t>él, la</w:t>
      </w:r>
      <w:r w:rsidRPr="00862128">
        <w:rPr>
          <w:rFonts w:ascii="Times New Roman" w:hAnsi="Times New Roman"/>
          <w:sz w:val="28"/>
          <w:szCs w:val="28"/>
        </w:rPr>
        <w:t xml:space="preserve"> firma electrónica no constituye una suma reputada como interés, pues representa un servicio tecnológico opcional, con contraprestación distinta al crédito, que puede ser sustituido por mecanismos físicos sin costo adicional.</w:t>
      </w:r>
      <w:r w:rsidRPr="00862128">
        <w:rPr>
          <w:rFonts w:ascii="Times New Roman" w:hAnsi="Times New Roman"/>
          <w:sz w:val="28"/>
          <w:szCs w:val="28"/>
        </w:rPr>
        <w:t xml:space="preserve"> D</w:t>
      </w:r>
      <w:r w:rsidRPr="00862128">
        <w:rPr>
          <w:rFonts w:ascii="Times New Roman" w:hAnsi="Times New Roman"/>
          <w:sz w:val="28"/>
          <w:szCs w:val="28"/>
        </w:rPr>
        <w:t>estac</w:t>
      </w:r>
      <w:r w:rsidRPr="00862128">
        <w:rPr>
          <w:rFonts w:ascii="Times New Roman" w:hAnsi="Times New Roman"/>
          <w:sz w:val="28"/>
          <w:szCs w:val="28"/>
        </w:rPr>
        <w:t>ó</w:t>
      </w:r>
      <w:r w:rsidRPr="00862128">
        <w:rPr>
          <w:rFonts w:ascii="Times New Roman" w:hAnsi="Times New Roman"/>
          <w:sz w:val="28"/>
          <w:szCs w:val="28"/>
        </w:rPr>
        <w:t xml:space="preserve"> que la norma </w:t>
      </w:r>
      <w:r w:rsidRPr="00862128">
        <w:rPr>
          <w:rFonts w:ascii="Times New Roman" w:hAnsi="Times New Roman"/>
          <w:sz w:val="28"/>
          <w:szCs w:val="28"/>
        </w:rPr>
        <w:t>acusada</w:t>
      </w:r>
      <w:r w:rsidRPr="00862128">
        <w:rPr>
          <w:rFonts w:ascii="Times New Roman" w:hAnsi="Times New Roman"/>
          <w:sz w:val="28"/>
          <w:szCs w:val="28"/>
        </w:rPr>
        <w:t xml:space="preserve"> f</w:t>
      </w:r>
      <w:r w:rsidRPr="00862128">
        <w:rPr>
          <w:rFonts w:ascii="Times New Roman" w:hAnsi="Times New Roman"/>
          <w:sz w:val="28"/>
          <w:szCs w:val="28"/>
        </w:rPr>
        <w:t>ortalece la protección al consumidor al exigir información clara sobre los costos tecnológicos y garantizar la libertad de elección. Afirm</w:t>
      </w:r>
      <w:r w:rsidRPr="00862128">
        <w:rPr>
          <w:rFonts w:ascii="Times New Roman" w:hAnsi="Times New Roman"/>
          <w:sz w:val="28"/>
          <w:szCs w:val="28"/>
        </w:rPr>
        <w:t>ó</w:t>
      </w:r>
      <w:r w:rsidRPr="00862128">
        <w:rPr>
          <w:rFonts w:ascii="Times New Roman" w:hAnsi="Times New Roman"/>
          <w:sz w:val="28"/>
          <w:szCs w:val="28"/>
        </w:rPr>
        <w:t xml:space="preserve"> que la exclusión de la firma electrónica del cómputo de intereses no genera regresividad normativa, sino que promuev</w:t>
      </w:r>
      <w:r w:rsidRPr="00862128">
        <w:rPr>
          <w:rFonts w:ascii="Times New Roman" w:hAnsi="Times New Roman"/>
          <w:sz w:val="28"/>
          <w:szCs w:val="28"/>
        </w:rPr>
        <w:t xml:space="preserve">e la transparencia, la competencia y la inclusión financiera. También </w:t>
      </w:r>
      <w:r w:rsidRPr="00862128">
        <w:rPr>
          <w:rFonts w:ascii="Times New Roman" w:hAnsi="Times New Roman"/>
          <w:sz w:val="28"/>
          <w:szCs w:val="28"/>
        </w:rPr>
        <w:t>advirtió</w:t>
      </w:r>
      <w:r w:rsidRPr="00862128">
        <w:rPr>
          <w:rFonts w:ascii="Times New Roman" w:hAnsi="Times New Roman"/>
          <w:sz w:val="28"/>
          <w:szCs w:val="28"/>
        </w:rPr>
        <w:t xml:space="preserve"> que declarar inexequible la norma afectaría negativamente el ecosistema de crédito digital, desincentivaría la innovación tecnológica y generaría inseguridad jurídica. Finalment</w:t>
      </w:r>
      <w:r w:rsidRPr="00862128">
        <w:rPr>
          <w:rFonts w:ascii="Times New Roman" w:hAnsi="Times New Roman"/>
          <w:sz w:val="28"/>
          <w:szCs w:val="28"/>
        </w:rPr>
        <w:t>e, prop</w:t>
      </w:r>
      <w:r w:rsidRPr="00862128">
        <w:rPr>
          <w:rFonts w:ascii="Times New Roman" w:hAnsi="Times New Roman"/>
          <w:sz w:val="28"/>
          <w:szCs w:val="28"/>
        </w:rPr>
        <w:t>uso</w:t>
      </w:r>
      <w:r w:rsidRPr="00862128">
        <w:rPr>
          <w:rFonts w:ascii="Times New Roman" w:hAnsi="Times New Roman"/>
          <w:sz w:val="28"/>
          <w:szCs w:val="28"/>
        </w:rPr>
        <w:t xml:space="preserve"> que, en caso de no declararse la exequibilidad simple, se adopte una exequibilidad condicionada que permita extender el tratamiento normativo a otras entidades vigiladas, bajo condiciones de protección reforzada al consumidor</w:t>
      </w:r>
      <w:r w:rsidRPr="00862128">
        <w:rPr>
          <w:rFonts w:ascii="Times New Roman" w:hAnsi="Times New Roman"/>
          <w:sz w:val="28"/>
          <w:szCs w:val="28"/>
        </w:rPr>
        <w:t>.</w:t>
      </w:r>
    </w:p>
    <w:p w:rsidR="00B324FF"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E915F7" w:rsidRPr="00862128" w:rsidRDefault="00862128" w:rsidP="00BE5143">
      <w:pPr>
        <w:pStyle w:val="Ttulo3"/>
        <w:spacing w:before="0" w:after="0"/>
        <w:rPr>
          <w:rFonts w:ascii="Times New Roman" w:hAnsi="Times New Roman"/>
          <w:b/>
          <w:bCs/>
          <w:color w:val="auto"/>
        </w:rPr>
      </w:pPr>
      <w:bookmarkStart w:id="14" w:name="_Toc223713278"/>
      <w:r w:rsidRPr="00862128">
        <w:rPr>
          <w:rFonts w:ascii="Times New Roman" w:hAnsi="Times New Roman"/>
          <w:b/>
          <w:bCs/>
          <w:color w:val="auto"/>
        </w:rPr>
        <w:t>4.</w:t>
      </w:r>
      <w:r w:rsidRPr="00862128">
        <w:rPr>
          <w:rFonts w:ascii="Times New Roman" w:hAnsi="Times New Roman"/>
          <w:b/>
          <w:bCs/>
          <w:color w:val="auto"/>
        </w:rPr>
        <w:t>3</w:t>
      </w:r>
      <w:r w:rsidRPr="00862128">
        <w:rPr>
          <w:rFonts w:ascii="Times New Roman" w:hAnsi="Times New Roman"/>
          <w:b/>
          <w:bCs/>
          <w:color w:val="auto"/>
        </w:rPr>
        <w:t xml:space="preserve">. </w:t>
      </w:r>
      <w:r w:rsidRPr="00862128">
        <w:rPr>
          <w:rFonts w:ascii="Times New Roman" w:hAnsi="Times New Roman"/>
          <w:b/>
          <w:bCs/>
          <w:color w:val="auto"/>
        </w:rPr>
        <w:t>Argumentos d</w:t>
      </w:r>
      <w:r w:rsidRPr="00862128">
        <w:rPr>
          <w:rFonts w:ascii="Times New Roman" w:hAnsi="Times New Roman"/>
          <w:b/>
          <w:bCs/>
          <w:color w:val="auto"/>
        </w:rPr>
        <w:t>e inexequibilidad</w:t>
      </w:r>
      <w:bookmarkEnd w:id="14"/>
    </w:p>
    <w:p w:rsidR="002F3228" w:rsidRPr="00862128" w:rsidRDefault="00862128" w:rsidP="00BE5143">
      <w:pPr>
        <w:pStyle w:val="Estilo1"/>
        <w:tabs>
          <w:tab w:val="left" w:pos="567"/>
        </w:tabs>
        <w:ind w:left="0" w:firstLine="0"/>
        <w:outlineLvl w:val="0"/>
        <w:rPr>
          <w:rStyle w:val="Ttulo1Car"/>
          <w:rFonts w:ascii="Times New Roman" w:hAnsi="Times New Roman"/>
          <w:bCs/>
          <w:color w:val="auto"/>
          <w:sz w:val="28"/>
          <w:szCs w:val="28"/>
        </w:rPr>
      </w:pPr>
    </w:p>
    <w:p w:rsidR="002119EB"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El </w:t>
      </w:r>
      <w:r w:rsidRPr="00862128">
        <w:rPr>
          <w:rFonts w:ascii="Times New Roman" w:hAnsi="Times New Roman"/>
          <w:bCs/>
          <w:sz w:val="28"/>
          <w:szCs w:val="28"/>
        </w:rPr>
        <w:t>Ministerio de Comercio, Industria y Turismo, la Superintendencia de Industria y Comercio</w:t>
      </w:r>
      <w:r w:rsidRPr="00862128">
        <w:rPr>
          <w:rFonts w:ascii="Times New Roman" w:hAnsi="Times New Roman"/>
          <w:bCs/>
          <w:sz w:val="28"/>
          <w:szCs w:val="28"/>
        </w:rPr>
        <w:t xml:space="preserve"> (SIC)</w:t>
      </w:r>
      <w:r w:rsidRPr="00862128">
        <w:rPr>
          <w:rFonts w:ascii="Times New Roman" w:hAnsi="Times New Roman"/>
          <w:bCs/>
          <w:sz w:val="28"/>
          <w:szCs w:val="28"/>
        </w:rPr>
        <w:t xml:space="preserve">, el Banco de la República, la </w:t>
      </w:r>
      <w:r w:rsidRPr="00862128">
        <w:rPr>
          <w:rFonts w:ascii="Times New Roman" w:hAnsi="Times New Roman"/>
          <w:sz w:val="28"/>
          <w:szCs w:val="28"/>
        </w:rPr>
        <w:t>Asociación Bancaria y de Entidades Financieras de Colombia (</w:t>
      </w:r>
      <w:r w:rsidRPr="00862128">
        <w:rPr>
          <w:rFonts w:ascii="Times New Roman" w:hAnsi="Times New Roman"/>
          <w:bCs/>
          <w:sz w:val="28"/>
          <w:szCs w:val="28"/>
        </w:rPr>
        <w:t xml:space="preserve">Asobancaria) y el ciudadano </w:t>
      </w:r>
      <w:r w:rsidRPr="00862128">
        <w:rPr>
          <w:rFonts w:ascii="Times New Roman" w:hAnsi="Times New Roman"/>
          <w:sz w:val="28"/>
          <w:szCs w:val="28"/>
        </w:rPr>
        <w:t xml:space="preserve">Julián Felipe Esguerra Cortes, </w:t>
      </w:r>
      <w:r w:rsidRPr="00862128">
        <w:rPr>
          <w:rFonts w:ascii="Times New Roman" w:hAnsi="Times New Roman"/>
          <w:sz w:val="28"/>
          <w:szCs w:val="28"/>
        </w:rPr>
        <w:t>considera</w:t>
      </w:r>
      <w:r w:rsidRPr="00862128">
        <w:rPr>
          <w:rFonts w:ascii="Times New Roman" w:hAnsi="Times New Roman"/>
          <w:sz w:val="28"/>
          <w:szCs w:val="28"/>
        </w:rPr>
        <w:t>ron</w:t>
      </w:r>
      <w:r w:rsidRPr="00862128">
        <w:rPr>
          <w:rFonts w:ascii="Times New Roman" w:hAnsi="Times New Roman"/>
          <w:sz w:val="28"/>
          <w:szCs w:val="28"/>
        </w:rPr>
        <w:t xml:space="preserve"> que </w:t>
      </w:r>
      <w:r w:rsidRPr="00862128">
        <w:rPr>
          <w:rFonts w:ascii="Times New Roman" w:hAnsi="Times New Roman"/>
          <w:sz w:val="28"/>
          <w:szCs w:val="28"/>
        </w:rPr>
        <w:t xml:space="preserve">la demanda </w:t>
      </w:r>
      <w:r w:rsidRPr="00862128">
        <w:rPr>
          <w:rFonts w:ascii="Times New Roman" w:hAnsi="Times New Roman"/>
          <w:sz w:val="28"/>
          <w:szCs w:val="28"/>
        </w:rPr>
        <w:t xml:space="preserve">debe prosperar </w:t>
      </w:r>
      <w:r w:rsidRPr="00862128">
        <w:rPr>
          <w:rFonts w:ascii="Times New Roman" w:hAnsi="Times New Roman"/>
          <w:sz w:val="28"/>
          <w:szCs w:val="28"/>
        </w:rPr>
        <w:t xml:space="preserve">y </w:t>
      </w:r>
      <w:r w:rsidRPr="00862128">
        <w:rPr>
          <w:rFonts w:ascii="Times New Roman" w:hAnsi="Times New Roman"/>
          <w:sz w:val="28"/>
          <w:szCs w:val="28"/>
        </w:rPr>
        <w:t>declara</w:t>
      </w:r>
      <w:r w:rsidRPr="00862128">
        <w:rPr>
          <w:rFonts w:ascii="Times New Roman" w:hAnsi="Times New Roman"/>
          <w:sz w:val="28"/>
          <w:szCs w:val="28"/>
        </w:rPr>
        <w:t>rse la</w:t>
      </w:r>
      <w:r w:rsidRPr="00862128">
        <w:rPr>
          <w:rFonts w:ascii="Times New Roman" w:hAnsi="Times New Roman"/>
          <w:sz w:val="28"/>
          <w:szCs w:val="28"/>
        </w:rPr>
        <w:t xml:space="preserve"> </w:t>
      </w:r>
      <w:r w:rsidRPr="00862128">
        <w:rPr>
          <w:rFonts w:ascii="Times New Roman" w:hAnsi="Times New Roman"/>
          <w:sz w:val="28"/>
          <w:szCs w:val="28"/>
        </w:rPr>
        <w:t>ine</w:t>
      </w:r>
      <w:r w:rsidRPr="00862128">
        <w:rPr>
          <w:rFonts w:ascii="Times New Roman" w:hAnsi="Times New Roman"/>
          <w:sz w:val="28"/>
          <w:szCs w:val="28"/>
        </w:rPr>
        <w:t>xequibilidad del aparte demandando.</w:t>
      </w:r>
    </w:p>
    <w:p w:rsidR="006D7127" w:rsidRPr="00862128" w:rsidRDefault="00862128" w:rsidP="00BE5143">
      <w:pPr>
        <w:rPr>
          <w:rFonts w:ascii="Times New Roman" w:hAnsi="Times New Roman"/>
          <w:b/>
          <w:bCs/>
          <w:sz w:val="28"/>
          <w:szCs w:val="28"/>
        </w:rPr>
      </w:pPr>
    </w:p>
    <w:p w:rsidR="00645D6A"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Para la </w:t>
      </w:r>
      <w:r w:rsidRPr="00862128">
        <w:rPr>
          <w:rFonts w:ascii="Times New Roman" w:hAnsi="Times New Roman"/>
          <w:sz w:val="28"/>
          <w:szCs w:val="28"/>
        </w:rPr>
        <w:t>Superintendencia de Industria y Comercio, la norma demandada</w:t>
      </w:r>
      <w:r w:rsidRPr="00862128">
        <w:rPr>
          <w:rFonts w:ascii="Times New Roman" w:hAnsi="Times New Roman"/>
          <w:sz w:val="28"/>
          <w:szCs w:val="28"/>
        </w:rPr>
        <w:t xml:space="preserve"> debe ser declarada inexequible</w:t>
      </w:r>
      <w:r w:rsidRPr="00862128">
        <w:rPr>
          <w:rFonts w:ascii="Times New Roman" w:hAnsi="Times New Roman"/>
          <w:sz w:val="28"/>
          <w:szCs w:val="28"/>
        </w:rPr>
        <w:t>, por considerar que la exclusión de la firma electrónica del concepto de intereses genera inseguridad jurídica y vulnera los derechos de los consumidores, al permitir que este cargo no se compute como interés, a pesar de estar directamente vinculado al us</w:t>
      </w:r>
      <w:r w:rsidRPr="00862128">
        <w:rPr>
          <w:rFonts w:ascii="Times New Roman" w:hAnsi="Times New Roman"/>
          <w:sz w:val="28"/>
          <w:szCs w:val="28"/>
        </w:rPr>
        <w:t>o de tecnología en operaciones de crédito y, vulnera los principios constitucionales de unidad de materia, progresividad e igualdad. Argument</w:t>
      </w:r>
      <w:r w:rsidRPr="00862128">
        <w:rPr>
          <w:rFonts w:ascii="Times New Roman" w:hAnsi="Times New Roman"/>
          <w:sz w:val="28"/>
          <w:szCs w:val="28"/>
        </w:rPr>
        <w:t>ó</w:t>
      </w:r>
      <w:r w:rsidRPr="00862128">
        <w:rPr>
          <w:rFonts w:ascii="Times New Roman" w:hAnsi="Times New Roman"/>
          <w:sz w:val="28"/>
          <w:szCs w:val="28"/>
        </w:rPr>
        <w:t xml:space="preserve"> que la disposición se aparta del objeto de la ley al introducir un trato preferencial para ciertos otorgantes de </w:t>
      </w:r>
      <w:r w:rsidRPr="00862128">
        <w:rPr>
          <w:rFonts w:ascii="Times New Roman" w:hAnsi="Times New Roman"/>
          <w:sz w:val="28"/>
          <w:szCs w:val="28"/>
        </w:rPr>
        <w:t>crédito, lo cual rompe la coherencia interna del texto normativo y, la norma representa un retroceso en la protección de los derechos del consumidor, al permitir cobros adicionales no reputados como intereses, lo que puede inducir al sobreendeudamiento y d</w:t>
      </w:r>
      <w:r w:rsidRPr="00862128">
        <w:rPr>
          <w:rFonts w:ascii="Times New Roman" w:hAnsi="Times New Roman"/>
          <w:sz w:val="28"/>
          <w:szCs w:val="28"/>
        </w:rPr>
        <w:t>ificultar el acceso al crédito.</w:t>
      </w:r>
    </w:p>
    <w:p w:rsidR="00645D6A" w:rsidRPr="00862128" w:rsidRDefault="00862128" w:rsidP="00BE5143">
      <w:pPr>
        <w:pStyle w:val="Prrafodelista"/>
        <w:rPr>
          <w:rFonts w:ascii="Times New Roman" w:hAnsi="Times New Roman"/>
          <w:sz w:val="28"/>
          <w:szCs w:val="28"/>
        </w:rPr>
      </w:pPr>
    </w:p>
    <w:p w:rsidR="00CC67DC"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Asimismo, plante</w:t>
      </w:r>
      <w:r w:rsidRPr="00862128">
        <w:rPr>
          <w:rFonts w:ascii="Times New Roman" w:hAnsi="Times New Roman"/>
          <w:sz w:val="28"/>
          <w:szCs w:val="28"/>
        </w:rPr>
        <w:t>ó</w:t>
      </w:r>
      <w:r w:rsidRPr="00862128">
        <w:rPr>
          <w:rFonts w:ascii="Times New Roman" w:hAnsi="Times New Roman"/>
          <w:sz w:val="28"/>
          <w:szCs w:val="28"/>
        </w:rPr>
        <w:t xml:space="preserve"> que la norma genera una discriminación entre consumidores bancarizados y no bancarizados, al establecer regímenes diferenciados sin justificación objetiva, lo que impide la comparación efectiva entre ofert</w:t>
      </w:r>
      <w:r w:rsidRPr="00862128">
        <w:rPr>
          <w:rFonts w:ascii="Times New Roman" w:hAnsi="Times New Roman"/>
          <w:sz w:val="28"/>
          <w:szCs w:val="28"/>
        </w:rPr>
        <w:t>as crediticias. Sost</w:t>
      </w:r>
      <w:r w:rsidRPr="00862128">
        <w:rPr>
          <w:rFonts w:ascii="Times New Roman" w:hAnsi="Times New Roman"/>
          <w:sz w:val="28"/>
          <w:szCs w:val="28"/>
        </w:rPr>
        <w:t>uvo</w:t>
      </w:r>
      <w:r w:rsidRPr="00862128">
        <w:rPr>
          <w:rFonts w:ascii="Times New Roman" w:hAnsi="Times New Roman"/>
          <w:sz w:val="28"/>
          <w:szCs w:val="28"/>
        </w:rPr>
        <w:t>, que esta diferenciación contradice el artículo 68 de la Ley 45 de 1990, que establece que todos los pagos relacionados con el crédito deben reputarse como intereses, y que la exclusión de la firma electrónica permite cobros adicion</w:t>
      </w:r>
      <w:r w:rsidRPr="00862128">
        <w:rPr>
          <w:rFonts w:ascii="Times New Roman" w:hAnsi="Times New Roman"/>
          <w:sz w:val="28"/>
          <w:szCs w:val="28"/>
        </w:rPr>
        <w:t>ales que afectan la capacidad de los consumidores para acceder al crédito, especialmente aquellos no bancarizados.</w:t>
      </w:r>
      <w:r w:rsidRPr="00862128">
        <w:rPr>
          <w:rFonts w:ascii="Times New Roman" w:hAnsi="Times New Roman"/>
          <w:sz w:val="28"/>
          <w:szCs w:val="28"/>
        </w:rPr>
        <w:t xml:space="preserve"> A</w:t>
      </w:r>
      <w:r w:rsidRPr="00862128">
        <w:rPr>
          <w:rFonts w:ascii="Times New Roman" w:hAnsi="Times New Roman"/>
          <w:sz w:val="28"/>
          <w:szCs w:val="28"/>
        </w:rPr>
        <w:t>dvirt</w:t>
      </w:r>
      <w:r w:rsidRPr="00862128">
        <w:rPr>
          <w:rFonts w:ascii="Times New Roman" w:hAnsi="Times New Roman"/>
          <w:sz w:val="28"/>
          <w:szCs w:val="28"/>
        </w:rPr>
        <w:t>ió</w:t>
      </w:r>
      <w:r w:rsidRPr="00862128">
        <w:rPr>
          <w:rFonts w:ascii="Times New Roman" w:hAnsi="Times New Roman"/>
          <w:sz w:val="28"/>
          <w:szCs w:val="28"/>
        </w:rPr>
        <w:t xml:space="preserve"> que la exclusión de la firma electrónica como interés puede ser utilizada para eludir los límites legales de las tasas de interés, a</w:t>
      </w:r>
      <w:r w:rsidRPr="00862128">
        <w:rPr>
          <w:rFonts w:ascii="Times New Roman" w:hAnsi="Times New Roman"/>
          <w:sz w:val="28"/>
          <w:szCs w:val="28"/>
        </w:rPr>
        <w:t xml:space="preserve">fectando especialmente a los usuarios de servicios Fintech. </w:t>
      </w:r>
      <w:r w:rsidRPr="00862128">
        <w:rPr>
          <w:rFonts w:ascii="Times New Roman" w:hAnsi="Times New Roman"/>
          <w:sz w:val="28"/>
          <w:szCs w:val="28"/>
        </w:rPr>
        <w:t>P</w:t>
      </w:r>
      <w:r w:rsidRPr="00862128">
        <w:rPr>
          <w:rFonts w:ascii="Times New Roman" w:hAnsi="Times New Roman"/>
          <w:sz w:val="28"/>
          <w:szCs w:val="28"/>
        </w:rPr>
        <w:t>rop</w:t>
      </w:r>
      <w:r w:rsidRPr="00862128">
        <w:rPr>
          <w:rFonts w:ascii="Times New Roman" w:hAnsi="Times New Roman"/>
          <w:sz w:val="28"/>
          <w:szCs w:val="28"/>
        </w:rPr>
        <w:t>uso</w:t>
      </w:r>
      <w:r w:rsidRPr="00862128">
        <w:rPr>
          <w:rFonts w:ascii="Times New Roman" w:hAnsi="Times New Roman"/>
          <w:sz w:val="28"/>
          <w:szCs w:val="28"/>
        </w:rPr>
        <w:t xml:space="preserve"> aplicar el test de razonabilidad y proporcionalidad para evaluar la legitimidad de la medida, considerando que su finalidad podría ser válida si busca flexibilizar los costos operativos de</w:t>
      </w:r>
      <w:r w:rsidRPr="00862128">
        <w:rPr>
          <w:rFonts w:ascii="Times New Roman" w:hAnsi="Times New Roman"/>
          <w:sz w:val="28"/>
          <w:szCs w:val="28"/>
        </w:rPr>
        <w:t xml:space="preserve"> agentes no vigilados. No obstante, </w:t>
      </w:r>
      <w:r w:rsidRPr="00862128">
        <w:rPr>
          <w:rFonts w:ascii="Times New Roman" w:hAnsi="Times New Roman"/>
          <w:sz w:val="28"/>
          <w:szCs w:val="28"/>
        </w:rPr>
        <w:t xml:space="preserve">señaló </w:t>
      </w:r>
      <w:r w:rsidRPr="00862128">
        <w:rPr>
          <w:rFonts w:ascii="Times New Roman" w:hAnsi="Times New Roman"/>
          <w:sz w:val="28"/>
          <w:szCs w:val="28"/>
        </w:rPr>
        <w:t>que esta diferenciación debe ser cuidadosamente examinada para evitar impactos negativos en los derechos de los consumidores y en la equidad del mercado.</w:t>
      </w:r>
    </w:p>
    <w:p w:rsidR="00CA4634" w:rsidRPr="00862128" w:rsidRDefault="00862128" w:rsidP="00BE5143">
      <w:pPr>
        <w:rPr>
          <w:rFonts w:ascii="Times New Roman" w:hAnsi="Times New Roman"/>
          <w:sz w:val="28"/>
          <w:szCs w:val="28"/>
        </w:rPr>
      </w:pPr>
    </w:p>
    <w:p w:rsidR="00BF7C4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Agreg</w:t>
      </w:r>
      <w:r w:rsidRPr="00862128">
        <w:rPr>
          <w:rFonts w:ascii="Times New Roman" w:hAnsi="Times New Roman"/>
          <w:sz w:val="28"/>
          <w:szCs w:val="28"/>
        </w:rPr>
        <w:t>ó</w:t>
      </w:r>
      <w:r w:rsidRPr="00862128">
        <w:rPr>
          <w:rFonts w:ascii="Times New Roman" w:hAnsi="Times New Roman"/>
          <w:sz w:val="28"/>
          <w:szCs w:val="28"/>
        </w:rPr>
        <w:t xml:space="preserve"> </w:t>
      </w:r>
      <w:r w:rsidRPr="00862128">
        <w:rPr>
          <w:rFonts w:ascii="Times New Roman" w:hAnsi="Times New Roman"/>
          <w:sz w:val="28"/>
          <w:szCs w:val="28"/>
        </w:rPr>
        <w:t xml:space="preserve">que esta exclusión implica una carga injustificada </w:t>
      </w:r>
      <w:r w:rsidRPr="00862128">
        <w:rPr>
          <w:rFonts w:ascii="Times New Roman" w:hAnsi="Times New Roman"/>
          <w:sz w:val="28"/>
          <w:szCs w:val="28"/>
        </w:rPr>
        <w:t>para los consumidores no financieros, quienes deben asumir costos adicionales por el uso de firma electrónica en operaciones de crédito realizadas mediante medios electrónicos, sin que estos se reputen como intereses. Esto genera una asimetría entre consum</w:t>
      </w:r>
      <w:r w:rsidRPr="00862128">
        <w:rPr>
          <w:rFonts w:ascii="Times New Roman" w:hAnsi="Times New Roman"/>
          <w:sz w:val="28"/>
          <w:szCs w:val="28"/>
        </w:rPr>
        <w:t xml:space="preserve">idores financieros y no financieros, vulnerando el principio de igualdad. Asimismo, </w:t>
      </w:r>
      <w:r w:rsidRPr="00862128">
        <w:rPr>
          <w:rFonts w:ascii="Times New Roman" w:hAnsi="Times New Roman"/>
          <w:sz w:val="28"/>
          <w:szCs w:val="28"/>
        </w:rPr>
        <w:t>consideró</w:t>
      </w:r>
      <w:r w:rsidRPr="00862128">
        <w:rPr>
          <w:rFonts w:ascii="Times New Roman" w:hAnsi="Times New Roman"/>
          <w:sz w:val="28"/>
          <w:szCs w:val="28"/>
        </w:rPr>
        <w:t xml:space="preserve"> que la norma contradice el artículo 78 constitucional y el Estatuto del Consumidor, al afectar el derecho a recibir información clara y veraz sobre los costos del</w:t>
      </w:r>
      <w:r w:rsidRPr="00862128">
        <w:rPr>
          <w:rFonts w:ascii="Times New Roman" w:hAnsi="Times New Roman"/>
          <w:sz w:val="28"/>
          <w:szCs w:val="28"/>
        </w:rPr>
        <w:t xml:space="preserve"> crédito.</w:t>
      </w:r>
    </w:p>
    <w:p w:rsidR="00BF7C43" w:rsidRPr="00862128" w:rsidRDefault="00862128" w:rsidP="00BE5143">
      <w:pPr>
        <w:pStyle w:val="Prrafodelista"/>
        <w:rPr>
          <w:rFonts w:ascii="Times New Roman" w:hAnsi="Times New Roman"/>
          <w:sz w:val="28"/>
          <w:szCs w:val="28"/>
        </w:rPr>
      </w:pPr>
    </w:p>
    <w:p w:rsidR="00336392"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La</w:t>
      </w:r>
      <w:r w:rsidRPr="00862128">
        <w:rPr>
          <w:rFonts w:ascii="Times New Roman" w:hAnsi="Times New Roman"/>
          <w:b/>
          <w:bCs/>
          <w:sz w:val="28"/>
          <w:szCs w:val="28"/>
        </w:rPr>
        <w:t xml:space="preserve"> </w:t>
      </w:r>
      <w:r w:rsidRPr="00862128">
        <w:rPr>
          <w:rFonts w:ascii="Times New Roman" w:hAnsi="Times New Roman"/>
          <w:sz w:val="28"/>
          <w:szCs w:val="28"/>
        </w:rPr>
        <w:t xml:space="preserve">Asociación Bancaria y de Entidades Financieras de Colombia </w:t>
      </w:r>
      <w:r w:rsidRPr="00862128">
        <w:rPr>
          <w:rFonts w:ascii="Times New Roman" w:hAnsi="Times New Roman"/>
          <w:sz w:val="28"/>
          <w:szCs w:val="28"/>
        </w:rPr>
        <w:t>(</w:t>
      </w:r>
      <w:r w:rsidRPr="00862128">
        <w:rPr>
          <w:rFonts w:ascii="Times New Roman" w:hAnsi="Times New Roman"/>
          <w:sz w:val="28"/>
          <w:szCs w:val="28"/>
        </w:rPr>
        <w:t>Asobancaria</w:t>
      </w:r>
      <w:r w:rsidRPr="00862128">
        <w:rPr>
          <w:rFonts w:ascii="Times New Roman" w:hAnsi="Times New Roman"/>
          <w:sz w:val="28"/>
          <w:szCs w:val="28"/>
        </w:rPr>
        <w:t>)</w:t>
      </w:r>
      <w:r w:rsidRPr="00862128">
        <w:rPr>
          <w:rFonts w:ascii="Times New Roman" w:hAnsi="Times New Roman"/>
          <w:sz w:val="28"/>
          <w:szCs w:val="28"/>
        </w:rPr>
        <w:t>, solicit</w:t>
      </w:r>
      <w:r w:rsidRPr="00862128">
        <w:rPr>
          <w:rFonts w:ascii="Times New Roman" w:hAnsi="Times New Roman"/>
          <w:sz w:val="28"/>
          <w:szCs w:val="28"/>
        </w:rPr>
        <w:t>ó que</w:t>
      </w:r>
      <w:r w:rsidRPr="00862128">
        <w:rPr>
          <w:rFonts w:ascii="Times New Roman" w:hAnsi="Times New Roman"/>
          <w:sz w:val="28"/>
          <w:szCs w:val="28"/>
        </w:rPr>
        <w:t xml:space="preserve"> se declare la inexequibilidad del aparte demandad</w:t>
      </w:r>
      <w:r w:rsidRPr="00862128">
        <w:rPr>
          <w:rFonts w:ascii="Times New Roman" w:hAnsi="Times New Roman"/>
          <w:sz w:val="28"/>
          <w:szCs w:val="28"/>
        </w:rPr>
        <w:t>o</w:t>
      </w:r>
      <w:r w:rsidRPr="00862128">
        <w:rPr>
          <w:rFonts w:ascii="Times New Roman" w:hAnsi="Times New Roman"/>
          <w:sz w:val="28"/>
          <w:szCs w:val="28"/>
        </w:rPr>
        <w:t>, por vulnera</w:t>
      </w:r>
      <w:r w:rsidRPr="00862128">
        <w:rPr>
          <w:rFonts w:ascii="Times New Roman" w:hAnsi="Times New Roman"/>
          <w:sz w:val="28"/>
          <w:szCs w:val="28"/>
        </w:rPr>
        <w:t>r</w:t>
      </w:r>
      <w:r w:rsidRPr="00862128">
        <w:rPr>
          <w:rFonts w:ascii="Times New Roman" w:hAnsi="Times New Roman"/>
          <w:sz w:val="28"/>
          <w:szCs w:val="28"/>
        </w:rPr>
        <w:t xml:space="preserve"> los artículos 13, 78 y 333 de la Constitución Política. Argument</w:t>
      </w:r>
      <w:r w:rsidRPr="00862128">
        <w:rPr>
          <w:rFonts w:ascii="Times New Roman" w:hAnsi="Times New Roman"/>
          <w:sz w:val="28"/>
          <w:szCs w:val="28"/>
        </w:rPr>
        <w:t xml:space="preserve">ó </w:t>
      </w:r>
      <w:r w:rsidRPr="00862128">
        <w:rPr>
          <w:rFonts w:ascii="Times New Roman" w:hAnsi="Times New Roman"/>
          <w:sz w:val="28"/>
          <w:szCs w:val="28"/>
        </w:rPr>
        <w:t xml:space="preserve"> que</w:t>
      </w:r>
      <w:r w:rsidRPr="00862128">
        <w:rPr>
          <w:rFonts w:ascii="Times New Roman" w:hAnsi="Times New Roman"/>
          <w:sz w:val="28"/>
          <w:szCs w:val="28"/>
        </w:rPr>
        <w:t xml:space="preserve"> la norma establece un trato desigual entre entidades vigiladas y no vigiladas por la Superintendencia Financiera, al permitir que estas últimas excluyan del cómputo de intereses el costo de la firma electrónica, lo que genera una ventaja competitiva injus</w:t>
      </w:r>
      <w:r w:rsidRPr="00862128">
        <w:rPr>
          <w:rFonts w:ascii="Times New Roman" w:hAnsi="Times New Roman"/>
          <w:sz w:val="28"/>
          <w:szCs w:val="28"/>
        </w:rPr>
        <w:t xml:space="preserve">tificada. </w:t>
      </w:r>
      <w:r w:rsidRPr="00862128">
        <w:rPr>
          <w:rFonts w:ascii="Times New Roman" w:hAnsi="Times New Roman"/>
          <w:sz w:val="28"/>
          <w:szCs w:val="28"/>
        </w:rPr>
        <w:t xml:space="preserve">Esa </w:t>
      </w:r>
      <w:r w:rsidRPr="00862128">
        <w:rPr>
          <w:rFonts w:ascii="Times New Roman" w:hAnsi="Times New Roman"/>
          <w:sz w:val="28"/>
          <w:szCs w:val="28"/>
        </w:rPr>
        <w:t xml:space="preserve">diferenciación no está constitucionalmente justificada, pues no existe una finalidad legítima ni un medio adecuado y conducente para proteger al consumidor. </w:t>
      </w:r>
    </w:p>
    <w:p w:rsidR="00336392" w:rsidRPr="00862128" w:rsidRDefault="00862128" w:rsidP="003664DF">
      <w:pPr>
        <w:pStyle w:val="Prrafodelista"/>
        <w:rPr>
          <w:rFonts w:ascii="Times New Roman" w:hAnsi="Times New Roman"/>
          <w:sz w:val="28"/>
          <w:szCs w:val="28"/>
        </w:rPr>
      </w:pPr>
    </w:p>
    <w:p w:rsidR="00DF777E"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La norma, según </w:t>
      </w:r>
      <w:r w:rsidRPr="00862128">
        <w:rPr>
          <w:rFonts w:ascii="Times New Roman" w:hAnsi="Times New Roman"/>
          <w:sz w:val="28"/>
          <w:szCs w:val="28"/>
        </w:rPr>
        <w:t>la Asobancaria</w:t>
      </w:r>
      <w:r w:rsidRPr="00862128">
        <w:rPr>
          <w:rFonts w:ascii="Times New Roman" w:hAnsi="Times New Roman"/>
          <w:sz w:val="28"/>
          <w:szCs w:val="28"/>
        </w:rPr>
        <w:t xml:space="preserve">, permite que las entidades no vigiladas cobren por </w:t>
      </w:r>
      <w:r w:rsidRPr="00862128">
        <w:rPr>
          <w:rFonts w:ascii="Times New Roman" w:hAnsi="Times New Roman"/>
          <w:sz w:val="28"/>
          <w:szCs w:val="28"/>
        </w:rPr>
        <w:t>separado la firma electrónica, lo que encarece el crédito y dificulta la comparación entre ofertas, afectando la transparencia y la buena fe contractual.</w:t>
      </w:r>
      <w:r w:rsidRPr="00862128">
        <w:rPr>
          <w:rFonts w:ascii="Times New Roman" w:hAnsi="Times New Roman"/>
          <w:sz w:val="28"/>
          <w:szCs w:val="28"/>
        </w:rPr>
        <w:t xml:space="preserve"> </w:t>
      </w:r>
      <w:r w:rsidRPr="00862128">
        <w:rPr>
          <w:rFonts w:ascii="Times New Roman" w:hAnsi="Times New Roman"/>
          <w:sz w:val="28"/>
          <w:szCs w:val="28"/>
        </w:rPr>
        <w:t xml:space="preserve">Por lo tanto, </w:t>
      </w:r>
      <w:r w:rsidRPr="00862128">
        <w:rPr>
          <w:rFonts w:ascii="Times New Roman" w:hAnsi="Times New Roman"/>
          <w:sz w:val="28"/>
          <w:szCs w:val="28"/>
        </w:rPr>
        <w:t>la disposición demandada vulnera el régimen de protección al consumidor al permitir prác</w:t>
      </w:r>
      <w:r w:rsidRPr="00862128">
        <w:rPr>
          <w:rFonts w:ascii="Times New Roman" w:hAnsi="Times New Roman"/>
          <w:sz w:val="28"/>
          <w:szCs w:val="28"/>
        </w:rPr>
        <w:t>ticas que ocultan el costo real del crédito, especialmente en segmentos de bajos ingresos. Además, argument</w:t>
      </w:r>
      <w:r w:rsidRPr="00862128">
        <w:rPr>
          <w:rFonts w:ascii="Times New Roman" w:hAnsi="Times New Roman"/>
          <w:sz w:val="28"/>
          <w:szCs w:val="28"/>
        </w:rPr>
        <w:t>ó</w:t>
      </w:r>
      <w:r w:rsidRPr="00862128">
        <w:rPr>
          <w:rFonts w:ascii="Times New Roman" w:hAnsi="Times New Roman"/>
          <w:sz w:val="28"/>
          <w:szCs w:val="28"/>
        </w:rPr>
        <w:t xml:space="preserve"> que la norma afecta la libre competencia al introducir barreras injustificadas que favorecen a ciertos actores del mercado, sin una justificación t</w:t>
      </w:r>
      <w:r w:rsidRPr="00862128">
        <w:rPr>
          <w:rFonts w:ascii="Times New Roman" w:hAnsi="Times New Roman"/>
          <w:sz w:val="28"/>
          <w:szCs w:val="28"/>
        </w:rPr>
        <w:t xml:space="preserve">écnica o económica válida. </w:t>
      </w:r>
      <w:r w:rsidRPr="00862128">
        <w:rPr>
          <w:rFonts w:ascii="Times New Roman" w:hAnsi="Times New Roman"/>
          <w:sz w:val="28"/>
          <w:szCs w:val="28"/>
        </w:rPr>
        <w:t>C</w:t>
      </w:r>
      <w:r w:rsidRPr="00862128">
        <w:rPr>
          <w:rFonts w:ascii="Times New Roman" w:hAnsi="Times New Roman"/>
          <w:sz w:val="28"/>
          <w:szCs w:val="28"/>
        </w:rPr>
        <w:t>oncluy</w:t>
      </w:r>
      <w:r w:rsidRPr="00862128">
        <w:rPr>
          <w:rFonts w:ascii="Times New Roman" w:hAnsi="Times New Roman"/>
          <w:sz w:val="28"/>
          <w:szCs w:val="28"/>
        </w:rPr>
        <w:t>ó</w:t>
      </w:r>
      <w:r w:rsidRPr="00862128">
        <w:rPr>
          <w:rFonts w:ascii="Times New Roman" w:hAnsi="Times New Roman"/>
          <w:sz w:val="28"/>
          <w:szCs w:val="28"/>
        </w:rPr>
        <w:t xml:space="preserve"> que la diferenciación normativa basada en el régimen de vigilancia administrativa distorsiona el mercado, vulnera la igualdad y la transparencia, y contradice los principios constitucionales que rigen la actividad financ</w:t>
      </w:r>
      <w:r w:rsidRPr="00862128">
        <w:rPr>
          <w:rFonts w:ascii="Times New Roman" w:hAnsi="Times New Roman"/>
          <w:sz w:val="28"/>
          <w:szCs w:val="28"/>
        </w:rPr>
        <w:t xml:space="preserve">iera. </w:t>
      </w:r>
    </w:p>
    <w:p w:rsidR="00DF777E"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450E33"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 xml:space="preserve">El ciudadano </w:t>
      </w:r>
      <w:r w:rsidRPr="00862128">
        <w:rPr>
          <w:rFonts w:ascii="Times New Roman" w:hAnsi="Times New Roman"/>
          <w:sz w:val="28"/>
          <w:szCs w:val="28"/>
        </w:rPr>
        <w:t>Julián Felipe Esguerra Cortes, coadyuv</w:t>
      </w:r>
      <w:r w:rsidRPr="00862128">
        <w:rPr>
          <w:rFonts w:ascii="Times New Roman" w:hAnsi="Times New Roman"/>
          <w:sz w:val="28"/>
          <w:szCs w:val="28"/>
        </w:rPr>
        <w:t>ó</w:t>
      </w:r>
      <w:r w:rsidRPr="00862128">
        <w:rPr>
          <w:rFonts w:ascii="Times New Roman" w:hAnsi="Times New Roman"/>
          <w:sz w:val="28"/>
          <w:szCs w:val="28"/>
        </w:rPr>
        <w:t xml:space="preserve"> la demanda de inconstitucionalidad y solicit</w:t>
      </w:r>
      <w:r w:rsidRPr="00862128">
        <w:rPr>
          <w:rFonts w:ascii="Times New Roman" w:hAnsi="Times New Roman"/>
          <w:sz w:val="28"/>
          <w:szCs w:val="28"/>
        </w:rPr>
        <w:t>ó que</w:t>
      </w:r>
      <w:r w:rsidRPr="00862128">
        <w:rPr>
          <w:rFonts w:ascii="Times New Roman" w:hAnsi="Times New Roman"/>
          <w:sz w:val="28"/>
          <w:szCs w:val="28"/>
        </w:rPr>
        <w:t xml:space="preserve"> se declare la inexequibilidad de la norma acusada, por considerar que se incurrió en un vicio de procedimiento legislativo que vulnera el artícul</w:t>
      </w:r>
      <w:r w:rsidRPr="00862128">
        <w:rPr>
          <w:rFonts w:ascii="Times New Roman" w:hAnsi="Times New Roman"/>
          <w:sz w:val="28"/>
          <w:szCs w:val="28"/>
        </w:rPr>
        <w:t>o 157 de la Constitución Política. Argument</w:t>
      </w:r>
      <w:r w:rsidRPr="00862128">
        <w:rPr>
          <w:rFonts w:ascii="Times New Roman" w:hAnsi="Times New Roman"/>
          <w:sz w:val="28"/>
          <w:szCs w:val="28"/>
        </w:rPr>
        <w:t>ó</w:t>
      </w:r>
      <w:r w:rsidRPr="00862128">
        <w:rPr>
          <w:rFonts w:ascii="Times New Roman" w:hAnsi="Times New Roman"/>
          <w:sz w:val="28"/>
          <w:szCs w:val="28"/>
        </w:rPr>
        <w:t xml:space="preserve"> que no se respetó el principio de consecutividad, ya que no se evidencian debates ni discusiones suficientes en las distintas etapas del trámite legislativo sobre la expresión “firma electrónica” incluida en la </w:t>
      </w:r>
      <w:r w:rsidRPr="00862128">
        <w:rPr>
          <w:rFonts w:ascii="Times New Roman" w:hAnsi="Times New Roman"/>
          <w:sz w:val="28"/>
          <w:szCs w:val="28"/>
        </w:rPr>
        <w:t>norma acusada. Señal</w:t>
      </w:r>
      <w:r w:rsidRPr="00862128">
        <w:rPr>
          <w:rFonts w:ascii="Times New Roman" w:hAnsi="Times New Roman"/>
          <w:sz w:val="28"/>
          <w:szCs w:val="28"/>
        </w:rPr>
        <w:t>ó</w:t>
      </w:r>
      <w:r w:rsidRPr="00862128">
        <w:rPr>
          <w:rFonts w:ascii="Times New Roman" w:hAnsi="Times New Roman"/>
          <w:sz w:val="28"/>
          <w:szCs w:val="28"/>
        </w:rPr>
        <w:t xml:space="preserve"> que no hubo deliberación sobre su alcance en las operaciones de crédito mediante medios electrónicos ni sobre su implicación en el concepto de “intereses” regulado en el artículo 68 de la Ley 45 de 1995. En consecuencia, se configur</w:t>
      </w:r>
      <w:r w:rsidRPr="00862128">
        <w:rPr>
          <w:rFonts w:ascii="Times New Roman" w:hAnsi="Times New Roman"/>
          <w:sz w:val="28"/>
          <w:szCs w:val="28"/>
        </w:rPr>
        <w:t>ó</w:t>
      </w:r>
      <w:r w:rsidRPr="00862128">
        <w:rPr>
          <w:rFonts w:ascii="Times New Roman" w:hAnsi="Times New Roman"/>
          <w:sz w:val="28"/>
          <w:szCs w:val="28"/>
        </w:rPr>
        <w:t xml:space="preserve"> </w:t>
      </w:r>
      <w:r w:rsidRPr="00862128">
        <w:rPr>
          <w:rFonts w:ascii="Times New Roman" w:hAnsi="Times New Roman"/>
          <w:sz w:val="28"/>
          <w:szCs w:val="28"/>
        </w:rPr>
        <w:t>un vicio adicional al señalado por el demandante, que afecta la validez constitucional de la norma. Solicit</w:t>
      </w:r>
      <w:r w:rsidRPr="00862128">
        <w:rPr>
          <w:rFonts w:ascii="Times New Roman" w:hAnsi="Times New Roman"/>
          <w:sz w:val="28"/>
          <w:szCs w:val="28"/>
        </w:rPr>
        <w:t>ó</w:t>
      </w:r>
      <w:r w:rsidRPr="00862128">
        <w:rPr>
          <w:rFonts w:ascii="Times New Roman" w:hAnsi="Times New Roman"/>
          <w:sz w:val="28"/>
          <w:szCs w:val="28"/>
        </w:rPr>
        <w:t xml:space="preserve"> que se oficie al Congreso para allegar pruebas documentales y fílmicas del trámite legislativo y, que se convoque a audiencia pública para exponer </w:t>
      </w:r>
      <w:r w:rsidRPr="00862128">
        <w:rPr>
          <w:rFonts w:ascii="Times New Roman" w:hAnsi="Times New Roman"/>
          <w:sz w:val="28"/>
          <w:szCs w:val="28"/>
        </w:rPr>
        <w:t>los argumentos de forma oral.</w:t>
      </w:r>
    </w:p>
    <w:p w:rsidR="006B58AE"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9327B4" w:rsidRPr="00862128" w:rsidRDefault="00862128" w:rsidP="00BE5143">
      <w:pPr>
        <w:pStyle w:val="Ttulo3"/>
        <w:spacing w:before="0" w:after="0"/>
        <w:rPr>
          <w:rFonts w:ascii="Times New Roman" w:hAnsi="Times New Roman"/>
          <w:b/>
          <w:bCs/>
          <w:color w:val="auto"/>
        </w:rPr>
      </w:pPr>
      <w:bookmarkStart w:id="15" w:name="_Toc223713279"/>
      <w:r w:rsidRPr="00862128">
        <w:rPr>
          <w:rFonts w:ascii="Times New Roman" w:hAnsi="Times New Roman"/>
          <w:b/>
          <w:bCs/>
          <w:color w:val="auto"/>
        </w:rPr>
        <w:t>4.</w:t>
      </w:r>
      <w:r w:rsidRPr="00862128">
        <w:rPr>
          <w:rFonts w:ascii="Times New Roman" w:hAnsi="Times New Roman"/>
          <w:b/>
          <w:bCs/>
          <w:color w:val="auto"/>
        </w:rPr>
        <w:t>4</w:t>
      </w:r>
      <w:r w:rsidRPr="00862128">
        <w:rPr>
          <w:rFonts w:ascii="Times New Roman" w:hAnsi="Times New Roman"/>
          <w:b/>
          <w:bCs/>
          <w:color w:val="auto"/>
        </w:rPr>
        <w:t xml:space="preserve">. Intervenciones </w:t>
      </w:r>
      <w:r w:rsidRPr="00862128">
        <w:rPr>
          <w:rFonts w:ascii="Times New Roman" w:hAnsi="Times New Roman"/>
          <w:b/>
          <w:bCs/>
          <w:color w:val="auto"/>
        </w:rPr>
        <w:t xml:space="preserve">que no </w:t>
      </w:r>
      <w:r w:rsidRPr="00862128">
        <w:rPr>
          <w:rFonts w:ascii="Times New Roman" w:hAnsi="Times New Roman"/>
          <w:b/>
          <w:bCs/>
          <w:color w:val="auto"/>
        </w:rPr>
        <w:t>adoptan</w:t>
      </w:r>
      <w:r w:rsidRPr="00862128">
        <w:rPr>
          <w:rFonts w:ascii="Times New Roman" w:hAnsi="Times New Roman"/>
          <w:b/>
          <w:bCs/>
          <w:color w:val="auto"/>
        </w:rPr>
        <w:t xml:space="preserve"> </w:t>
      </w:r>
      <w:r w:rsidRPr="00862128">
        <w:rPr>
          <w:rFonts w:ascii="Times New Roman" w:hAnsi="Times New Roman"/>
          <w:b/>
          <w:bCs/>
          <w:color w:val="auto"/>
        </w:rPr>
        <w:t xml:space="preserve">ninguna </w:t>
      </w:r>
      <w:r w:rsidRPr="00862128">
        <w:rPr>
          <w:rFonts w:ascii="Times New Roman" w:hAnsi="Times New Roman"/>
          <w:b/>
          <w:bCs/>
          <w:color w:val="auto"/>
        </w:rPr>
        <w:t>posición</w:t>
      </w:r>
      <w:bookmarkEnd w:id="15"/>
    </w:p>
    <w:p w:rsidR="00E915F7"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92797C"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Sin asumir una postura</w:t>
      </w:r>
      <w:r w:rsidRPr="00862128">
        <w:rPr>
          <w:rFonts w:ascii="Times New Roman" w:hAnsi="Times New Roman"/>
          <w:sz w:val="28"/>
          <w:szCs w:val="28"/>
        </w:rPr>
        <w:t xml:space="preserve">, la </w:t>
      </w:r>
      <w:r w:rsidRPr="00862128">
        <w:rPr>
          <w:rFonts w:ascii="Times New Roman" w:hAnsi="Times New Roman"/>
          <w:sz w:val="28"/>
          <w:szCs w:val="28"/>
        </w:rPr>
        <w:t xml:space="preserve">Superintendencia Financiera de Colombia, </w:t>
      </w:r>
      <w:r w:rsidRPr="00862128">
        <w:rPr>
          <w:rFonts w:ascii="Times New Roman" w:hAnsi="Times New Roman"/>
          <w:sz w:val="28"/>
          <w:szCs w:val="28"/>
        </w:rPr>
        <w:t>present</w:t>
      </w:r>
      <w:r w:rsidRPr="00862128">
        <w:rPr>
          <w:rFonts w:ascii="Times New Roman" w:hAnsi="Times New Roman"/>
          <w:sz w:val="28"/>
          <w:szCs w:val="28"/>
        </w:rPr>
        <w:t>ó</w:t>
      </w:r>
      <w:r w:rsidRPr="00862128">
        <w:rPr>
          <w:rFonts w:ascii="Times New Roman" w:hAnsi="Times New Roman"/>
          <w:sz w:val="28"/>
          <w:szCs w:val="28"/>
        </w:rPr>
        <w:t xml:space="preserve"> un análisis comparativo del régimen de intereses aplicable a las entidades vigiladas, destacando que, conforme al artículo 68 de la Ley 45 de 1990 y a la Circular Básica Jurídica de la SFC, toda suma recibida por el acreedor que tenga como causa el otorga</w:t>
      </w:r>
      <w:r w:rsidRPr="00862128">
        <w:rPr>
          <w:rFonts w:ascii="Times New Roman" w:hAnsi="Times New Roman"/>
          <w:sz w:val="28"/>
          <w:szCs w:val="28"/>
        </w:rPr>
        <w:t>miento del crédito debe reputarse como interés, incluyendo servicios vinculados directamente con la operación crediticia.</w:t>
      </w:r>
      <w:r w:rsidRPr="00862128">
        <w:rPr>
          <w:rFonts w:ascii="Times New Roman" w:hAnsi="Times New Roman"/>
          <w:sz w:val="28"/>
          <w:szCs w:val="28"/>
        </w:rPr>
        <w:t xml:space="preserve"> Subray</w:t>
      </w:r>
      <w:r w:rsidRPr="00862128">
        <w:rPr>
          <w:rFonts w:ascii="Times New Roman" w:hAnsi="Times New Roman"/>
          <w:sz w:val="28"/>
          <w:szCs w:val="28"/>
        </w:rPr>
        <w:t>ó</w:t>
      </w:r>
      <w:r w:rsidRPr="00862128">
        <w:rPr>
          <w:rFonts w:ascii="Times New Roman" w:hAnsi="Times New Roman"/>
          <w:sz w:val="28"/>
          <w:szCs w:val="28"/>
        </w:rPr>
        <w:t xml:space="preserve"> que el marco normativo vigente busca garantizar la transparencia y la información clara al consumidor financiero, evitando prá</w:t>
      </w:r>
      <w:r w:rsidRPr="00862128">
        <w:rPr>
          <w:rFonts w:ascii="Times New Roman" w:hAnsi="Times New Roman"/>
          <w:sz w:val="28"/>
          <w:szCs w:val="28"/>
        </w:rPr>
        <w:t xml:space="preserve">cticas comerciales que fragmenten artificialmente los costos del crédito. </w:t>
      </w:r>
    </w:p>
    <w:p w:rsidR="0092797C" w:rsidRPr="00862128" w:rsidRDefault="00862128" w:rsidP="00BE5143">
      <w:pPr>
        <w:pStyle w:val="Prrafodelista"/>
        <w:tabs>
          <w:tab w:val="left" w:pos="567"/>
        </w:tabs>
        <w:ind w:left="0"/>
        <w:jc w:val="both"/>
        <w:rPr>
          <w:rFonts w:ascii="Times New Roman" w:hAnsi="Times New Roman"/>
          <w:sz w:val="28"/>
          <w:szCs w:val="28"/>
        </w:rPr>
      </w:pPr>
    </w:p>
    <w:p w:rsidR="000A79C5"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Advirtió</w:t>
      </w:r>
      <w:r w:rsidRPr="00862128">
        <w:rPr>
          <w:rFonts w:ascii="Times New Roman" w:hAnsi="Times New Roman"/>
          <w:sz w:val="28"/>
          <w:szCs w:val="28"/>
        </w:rPr>
        <w:t xml:space="preserve"> que excluir ciertos conceptos del cálculo de la tasa de interés efectiva puede inducir a error al consumidor y afectar su capacidad de decisión. Asimismo, señal</w:t>
      </w:r>
      <w:r w:rsidRPr="00862128">
        <w:rPr>
          <w:rFonts w:ascii="Times New Roman" w:hAnsi="Times New Roman"/>
          <w:sz w:val="28"/>
          <w:szCs w:val="28"/>
        </w:rPr>
        <w:t>ó</w:t>
      </w:r>
      <w:r w:rsidRPr="00862128">
        <w:rPr>
          <w:rFonts w:ascii="Times New Roman" w:hAnsi="Times New Roman"/>
          <w:sz w:val="28"/>
          <w:szCs w:val="28"/>
        </w:rPr>
        <w:t xml:space="preserve"> que el ré</w:t>
      </w:r>
      <w:r w:rsidRPr="00862128">
        <w:rPr>
          <w:rFonts w:ascii="Times New Roman" w:hAnsi="Times New Roman"/>
          <w:sz w:val="28"/>
          <w:szCs w:val="28"/>
        </w:rPr>
        <w:t>gimen aplicable a entidades vigiladas promueve la inclusión de todos los componentes del crédito en una tasa única y visible, lo cual fortalece la protección al consumidor y la eficiencia del sistema financiero. Reiter</w:t>
      </w:r>
      <w:r w:rsidRPr="00862128">
        <w:rPr>
          <w:rFonts w:ascii="Times New Roman" w:hAnsi="Times New Roman"/>
          <w:sz w:val="28"/>
          <w:szCs w:val="28"/>
        </w:rPr>
        <w:t>ó</w:t>
      </w:r>
      <w:r w:rsidRPr="00862128">
        <w:rPr>
          <w:rFonts w:ascii="Times New Roman" w:hAnsi="Times New Roman"/>
          <w:sz w:val="28"/>
          <w:szCs w:val="28"/>
        </w:rPr>
        <w:t>, que las instrucciones impartidas po</w:t>
      </w:r>
      <w:r w:rsidRPr="00862128">
        <w:rPr>
          <w:rFonts w:ascii="Times New Roman" w:hAnsi="Times New Roman"/>
          <w:sz w:val="28"/>
          <w:szCs w:val="28"/>
        </w:rPr>
        <w:t xml:space="preserve">r la SFC cumplen una función preventiva frente a prácticas comerciales que podrían inducir a error al consumidor, como la fragmentación artificial de los costos del crédito. </w:t>
      </w:r>
      <w:r w:rsidRPr="00862128">
        <w:rPr>
          <w:rFonts w:ascii="Times New Roman" w:hAnsi="Times New Roman"/>
          <w:sz w:val="28"/>
          <w:szCs w:val="28"/>
        </w:rPr>
        <w:t xml:space="preserve">Señaló </w:t>
      </w:r>
      <w:r w:rsidRPr="00862128">
        <w:rPr>
          <w:rFonts w:ascii="Times New Roman" w:hAnsi="Times New Roman"/>
          <w:sz w:val="28"/>
          <w:szCs w:val="28"/>
        </w:rPr>
        <w:t>que cualquier cargo inherente al otorgamiento del crédito debe reflejarse e</w:t>
      </w:r>
      <w:r w:rsidRPr="00862128">
        <w:rPr>
          <w:rFonts w:ascii="Times New Roman" w:hAnsi="Times New Roman"/>
          <w:sz w:val="28"/>
          <w:szCs w:val="28"/>
        </w:rPr>
        <w:t xml:space="preserve">n una tasa única y visible, evitando cobros superiores a los permitidos y estrategias de comercialización no transparentes. </w:t>
      </w:r>
    </w:p>
    <w:p w:rsidR="000A79C5" w:rsidRPr="00862128" w:rsidRDefault="00862128" w:rsidP="003664DF">
      <w:pPr>
        <w:pStyle w:val="Prrafodelista"/>
        <w:rPr>
          <w:rFonts w:ascii="Times New Roman" w:hAnsi="Times New Roman"/>
          <w:sz w:val="28"/>
          <w:szCs w:val="28"/>
        </w:rPr>
      </w:pPr>
    </w:p>
    <w:p w:rsidR="00D74F5B"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Concluyó </w:t>
      </w:r>
      <w:r w:rsidRPr="00862128">
        <w:rPr>
          <w:rFonts w:ascii="Times New Roman" w:hAnsi="Times New Roman"/>
          <w:sz w:val="28"/>
          <w:szCs w:val="28"/>
        </w:rPr>
        <w:t>que el marco normativo vigente fortalece la protección del consumidor financiero y contribuye a la eficiencia y estabilid</w:t>
      </w:r>
      <w:r w:rsidRPr="00862128">
        <w:rPr>
          <w:rFonts w:ascii="Times New Roman" w:hAnsi="Times New Roman"/>
          <w:sz w:val="28"/>
          <w:szCs w:val="28"/>
        </w:rPr>
        <w:t>ad del sistema financiero, siendo útil para comparar el régimen aplicable a entidades vigiladas con el previsto para otros otorgantes de crédito.</w:t>
      </w:r>
      <w:r w:rsidRPr="00862128">
        <w:rPr>
          <w:rFonts w:ascii="Times New Roman" w:hAnsi="Times New Roman"/>
          <w:sz w:val="28"/>
          <w:szCs w:val="28"/>
        </w:rPr>
        <w:t xml:space="preserve"> S</w:t>
      </w:r>
      <w:r w:rsidRPr="00862128">
        <w:rPr>
          <w:rFonts w:ascii="Times New Roman" w:hAnsi="Times New Roman"/>
          <w:sz w:val="28"/>
          <w:szCs w:val="28"/>
        </w:rPr>
        <w:t>e abst</w:t>
      </w:r>
      <w:r w:rsidRPr="00862128">
        <w:rPr>
          <w:rFonts w:ascii="Times New Roman" w:hAnsi="Times New Roman"/>
          <w:sz w:val="28"/>
          <w:szCs w:val="28"/>
        </w:rPr>
        <w:t>uvo</w:t>
      </w:r>
      <w:r w:rsidRPr="00862128">
        <w:rPr>
          <w:rFonts w:ascii="Times New Roman" w:hAnsi="Times New Roman"/>
          <w:sz w:val="28"/>
          <w:szCs w:val="28"/>
        </w:rPr>
        <w:t xml:space="preserve"> de emitir concepto de fondo sobre la constitucionalidad del aparte acusado, por cuanto la norma se </w:t>
      </w:r>
      <w:r w:rsidRPr="00862128">
        <w:rPr>
          <w:rFonts w:ascii="Times New Roman" w:hAnsi="Times New Roman"/>
          <w:sz w:val="28"/>
          <w:szCs w:val="28"/>
        </w:rPr>
        <w:t xml:space="preserve">refiere exclusivamente a operaciones de crédito realizadas por entidades no sometidas a su vigilancia. </w:t>
      </w:r>
    </w:p>
    <w:p w:rsidR="000238F9" w:rsidRPr="00862128" w:rsidRDefault="00862128" w:rsidP="00BE5143">
      <w:pPr>
        <w:pStyle w:val="Ttulo3"/>
        <w:spacing w:before="0" w:after="0"/>
        <w:rPr>
          <w:rFonts w:ascii="Times New Roman" w:hAnsi="Times New Roman"/>
        </w:rPr>
      </w:pPr>
    </w:p>
    <w:p w:rsidR="0055670E" w:rsidRPr="00862128" w:rsidRDefault="00862128" w:rsidP="00BE5143">
      <w:pPr>
        <w:pStyle w:val="Ttulo3"/>
        <w:spacing w:before="0" w:after="0"/>
        <w:rPr>
          <w:rFonts w:ascii="Times New Roman" w:hAnsi="Times New Roman"/>
          <w:b/>
          <w:bCs/>
          <w:color w:val="auto"/>
        </w:rPr>
      </w:pPr>
      <w:bookmarkStart w:id="16" w:name="_Toc223713280"/>
      <w:r w:rsidRPr="00862128">
        <w:rPr>
          <w:rFonts w:ascii="Times New Roman" w:hAnsi="Times New Roman"/>
          <w:b/>
          <w:bCs/>
          <w:color w:val="auto"/>
        </w:rPr>
        <w:t xml:space="preserve">5. </w:t>
      </w:r>
      <w:r w:rsidRPr="00862128">
        <w:rPr>
          <w:rFonts w:ascii="Times New Roman" w:hAnsi="Times New Roman"/>
          <w:b/>
          <w:bCs/>
          <w:color w:val="auto"/>
        </w:rPr>
        <w:t>Concepto de</w:t>
      </w:r>
      <w:r w:rsidRPr="00862128">
        <w:rPr>
          <w:rFonts w:ascii="Times New Roman" w:hAnsi="Times New Roman"/>
          <w:b/>
          <w:bCs/>
          <w:color w:val="auto"/>
        </w:rPr>
        <w:t xml:space="preserve"> </w:t>
      </w:r>
      <w:r w:rsidRPr="00862128">
        <w:rPr>
          <w:rFonts w:ascii="Times New Roman" w:hAnsi="Times New Roman"/>
          <w:b/>
          <w:bCs/>
          <w:color w:val="auto"/>
        </w:rPr>
        <w:t>l</w:t>
      </w:r>
      <w:r w:rsidRPr="00862128">
        <w:rPr>
          <w:rFonts w:ascii="Times New Roman" w:hAnsi="Times New Roman"/>
          <w:b/>
          <w:bCs/>
          <w:color w:val="auto"/>
        </w:rPr>
        <w:t>a</w:t>
      </w:r>
      <w:r w:rsidRPr="00862128">
        <w:rPr>
          <w:rFonts w:ascii="Times New Roman" w:hAnsi="Times New Roman"/>
          <w:b/>
          <w:bCs/>
          <w:color w:val="auto"/>
        </w:rPr>
        <w:t xml:space="preserve"> </w:t>
      </w:r>
      <w:r w:rsidRPr="00862128">
        <w:rPr>
          <w:rFonts w:ascii="Times New Roman" w:hAnsi="Times New Roman"/>
          <w:b/>
          <w:bCs/>
          <w:color w:val="auto"/>
        </w:rPr>
        <w:t>P</w:t>
      </w:r>
      <w:r w:rsidRPr="00862128">
        <w:rPr>
          <w:rFonts w:ascii="Times New Roman" w:hAnsi="Times New Roman"/>
          <w:b/>
          <w:bCs/>
          <w:color w:val="auto"/>
        </w:rPr>
        <w:t>rocurad</w:t>
      </w:r>
      <w:r w:rsidRPr="00862128">
        <w:rPr>
          <w:rFonts w:ascii="Times New Roman" w:hAnsi="Times New Roman"/>
          <w:b/>
          <w:bCs/>
          <w:color w:val="auto"/>
        </w:rPr>
        <w:t>u</w:t>
      </w:r>
      <w:r w:rsidRPr="00862128">
        <w:rPr>
          <w:rFonts w:ascii="Times New Roman" w:hAnsi="Times New Roman"/>
          <w:b/>
          <w:bCs/>
          <w:color w:val="auto"/>
        </w:rPr>
        <w:t>r</w:t>
      </w:r>
      <w:r w:rsidRPr="00862128">
        <w:rPr>
          <w:rFonts w:ascii="Times New Roman" w:hAnsi="Times New Roman"/>
          <w:b/>
          <w:bCs/>
          <w:color w:val="auto"/>
        </w:rPr>
        <w:t>ía</w:t>
      </w:r>
      <w:r w:rsidRPr="00862128">
        <w:rPr>
          <w:rFonts w:ascii="Times New Roman" w:hAnsi="Times New Roman"/>
          <w:b/>
          <w:bCs/>
          <w:color w:val="auto"/>
        </w:rPr>
        <w:t xml:space="preserve"> </w:t>
      </w:r>
      <w:r w:rsidRPr="00862128">
        <w:rPr>
          <w:rFonts w:ascii="Times New Roman" w:hAnsi="Times New Roman"/>
          <w:b/>
          <w:bCs/>
          <w:color w:val="auto"/>
        </w:rPr>
        <w:t>G</w:t>
      </w:r>
      <w:r w:rsidRPr="00862128">
        <w:rPr>
          <w:rFonts w:ascii="Times New Roman" w:hAnsi="Times New Roman"/>
          <w:b/>
          <w:bCs/>
          <w:color w:val="auto"/>
        </w:rPr>
        <w:t>eneral de la Nación</w:t>
      </w:r>
      <w:bookmarkEnd w:id="16"/>
    </w:p>
    <w:p w:rsidR="008B5E91" w:rsidRPr="00862128" w:rsidRDefault="00862128" w:rsidP="00BE5143">
      <w:pPr>
        <w:pStyle w:val="Ttulo1"/>
        <w:tabs>
          <w:tab w:val="left" w:pos="567"/>
        </w:tabs>
        <w:spacing w:before="0" w:after="0"/>
        <w:ind w:left="567"/>
        <w:jc w:val="both"/>
        <w:rPr>
          <w:rFonts w:ascii="Times New Roman" w:hAnsi="Times New Roman"/>
          <w:b/>
          <w:bCs/>
          <w:color w:val="auto"/>
          <w:sz w:val="28"/>
          <w:szCs w:val="28"/>
        </w:rPr>
      </w:pPr>
      <w:r w:rsidRPr="00862128">
        <w:rPr>
          <w:rFonts w:ascii="Times New Roman" w:hAnsi="Times New Roman"/>
          <w:b/>
          <w:bCs/>
          <w:color w:val="auto"/>
          <w:sz w:val="28"/>
          <w:szCs w:val="28"/>
        </w:rPr>
        <w:t xml:space="preserve"> </w:t>
      </w:r>
    </w:p>
    <w:p w:rsidR="000F38B1"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M</w:t>
      </w:r>
      <w:r w:rsidRPr="00862128">
        <w:rPr>
          <w:rFonts w:ascii="Times New Roman" w:hAnsi="Times New Roman"/>
          <w:sz w:val="28"/>
          <w:szCs w:val="28"/>
        </w:rPr>
        <w:t xml:space="preserve">ediante concepto </w:t>
      </w:r>
      <w:r w:rsidRPr="00862128">
        <w:rPr>
          <w:rFonts w:ascii="Times New Roman" w:hAnsi="Times New Roman"/>
          <w:sz w:val="28"/>
          <w:szCs w:val="28"/>
        </w:rPr>
        <w:t>No. 7495 del 19 de agosto de 2025</w:t>
      </w:r>
      <w:r w:rsidRPr="00862128">
        <w:rPr>
          <w:rStyle w:val="Refdenotaalpie"/>
          <w:rFonts w:ascii="Times New Roman" w:hAnsi="Times New Roman"/>
          <w:sz w:val="28"/>
        </w:rPr>
        <w:footnoteReference w:id="43"/>
      </w:r>
      <w:r w:rsidRPr="00862128">
        <w:rPr>
          <w:rFonts w:ascii="Times New Roman" w:hAnsi="Times New Roman"/>
          <w:sz w:val="28"/>
          <w:szCs w:val="28"/>
        </w:rPr>
        <w:t>, el P</w:t>
      </w:r>
      <w:r w:rsidRPr="00862128">
        <w:rPr>
          <w:rFonts w:ascii="Times New Roman" w:hAnsi="Times New Roman"/>
          <w:sz w:val="28"/>
          <w:szCs w:val="28"/>
        </w:rPr>
        <w:t xml:space="preserve">rocurador </w:t>
      </w:r>
      <w:r w:rsidRPr="00862128">
        <w:rPr>
          <w:rFonts w:ascii="Times New Roman" w:hAnsi="Times New Roman"/>
          <w:sz w:val="28"/>
          <w:szCs w:val="28"/>
        </w:rPr>
        <w:t>G</w:t>
      </w:r>
      <w:r w:rsidRPr="00862128">
        <w:rPr>
          <w:rFonts w:ascii="Times New Roman" w:hAnsi="Times New Roman"/>
          <w:sz w:val="28"/>
          <w:szCs w:val="28"/>
        </w:rPr>
        <w:t>eneral de la Nación solicit</w:t>
      </w:r>
      <w:r w:rsidRPr="00862128">
        <w:rPr>
          <w:rFonts w:ascii="Times New Roman" w:hAnsi="Times New Roman"/>
          <w:sz w:val="28"/>
          <w:szCs w:val="28"/>
        </w:rPr>
        <w:t>ó</w:t>
      </w:r>
      <w:r w:rsidRPr="00862128">
        <w:rPr>
          <w:rFonts w:ascii="Times New Roman" w:hAnsi="Times New Roman"/>
          <w:sz w:val="28"/>
          <w:szCs w:val="28"/>
        </w:rPr>
        <w:t xml:space="preserve"> a la Corte que declare la inexequibilidad de la expresión </w:t>
      </w:r>
      <w:r w:rsidRPr="00862128">
        <w:rPr>
          <w:rFonts w:ascii="Times New Roman" w:hAnsi="Times New Roman"/>
          <w:sz w:val="28"/>
          <w:szCs w:val="28"/>
        </w:rPr>
        <w:t>"firma electrónica"</w:t>
      </w:r>
      <w:r w:rsidRPr="00862128">
        <w:rPr>
          <w:rFonts w:ascii="Times New Roman" w:hAnsi="Times New Roman"/>
          <w:sz w:val="28"/>
          <w:szCs w:val="28"/>
        </w:rPr>
        <w:t>,</w:t>
      </w:r>
      <w:r w:rsidRPr="00862128">
        <w:rPr>
          <w:rFonts w:ascii="Times New Roman" w:hAnsi="Times New Roman"/>
          <w:sz w:val="28"/>
          <w:szCs w:val="28"/>
        </w:rPr>
        <w:t xml:space="preserve"> contenida en el inciso tercero del parágrafo 3 del artículo 45 de la Ley 1480 de 2011, adicionado por el artículo 7 de la Ley 2439 de 2024</w:t>
      </w:r>
      <w:r w:rsidRPr="00862128">
        <w:rPr>
          <w:rFonts w:ascii="Times New Roman" w:hAnsi="Times New Roman"/>
          <w:sz w:val="28"/>
          <w:szCs w:val="28"/>
        </w:rPr>
        <w:t>, por considerar que</w:t>
      </w:r>
      <w:r w:rsidRPr="00862128">
        <w:rPr>
          <w:rFonts w:ascii="Times New Roman" w:hAnsi="Times New Roman"/>
          <w:sz w:val="28"/>
          <w:szCs w:val="28"/>
        </w:rPr>
        <w:t xml:space="preserve"> la disposición no</w:t>
      </w:r>
      <w:r w:rsidRPr="00862128">
        <w:rPr>
          <w:rFonts w:ascii="Times New Roman" w:hAnsi="Times New Roman"/>
          <w:sz w:val="28"/>
          <w:szCs w:val="28"/>
        </w:rPr>
        <w:t>rmativa vulnera los artículos 13 (principio de igualdad), 78 (protección de los consumidores) y 333 (libre competencia económica y libertad de empresa) de la Constitución Política</w:t>
      </w:r>
    </w:p>
    <w:p w:rsidR="000F38B1" w:rsidRPr="00862128" w:rsidRDefault="00862128" w:rsidP="00BE5143">
      <w:pPr>
        <w:pStyle w:val="Prrafodelista"/>
        <w:tabs>
          <w:tab w:val="left" w:pos="567"/>
        </w:tabs>
        <w:autoSpaceDE w:val="0"/>
        <w:autoSpaceDN w:val="0"/>
        <w:ind w:left="0"/>
        <w:contextualSpacing w:val="0"/>
        <w:jc w:val="both"/>
        <w:textAlignment w:val="baseline"/>
        <w:rPr>
          <w:rFonts w:ascii="Times New Roman" w:hAnsi="Times New Roman"/>
          <w:sz w:val="28"/>
          <w:szCs w:val="28"/>
        </w:rPr>
      </w:pPr>
    </w:p>
    <w:p w:rsidR="00BF48A7"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Para ello,</w:t>
      </w:r>
      <w:r w:rsidRPr="00862128">
        <w:rPr>
          <w:rFonts w:ascii="Times New Roman" w:hAnsi="Times New Roman"/>
          <w:sz w:val="28"/>
          <w:szCs w:val="28"/>
        </w:rPr>
        <w:t xml:space="preserve"> indic</w:t>
      </w:r>
      <w:r w:rsidRPr="00862128">
        <w:rPr>
          <w:rFonts w:ascii="Times New Roman" w:hAnsi="Times New Roman"/>
          <w:sz w:val="28"/>
          <w:szCs w:val="28"/>
        </w:rPr>
        <w:t>ó</w:t>
      </w:r>
      <w:r w:rsidRPr="00862128">
        <w:rPr>
          <w:rFonts w:ascii="Times New Roman" w:hAnsi="Times New Roman"/>
          <w:sz w:val="28"/>
          <w:szCs w:val="28"/>
        </w:rPr>
        <w:t xml:space="preserve"> que la disposición demandada establece un trato desigual </w:t>
      </w:r>
      <w:r w:rsidRPr="00862128">
        <w:rPr>
          <w:rFonts w:ascii="Times New Roman" w:hAnsi="Times New Roman"/>
          <w:sz w:val="28"/>
          <w:szCs w:val="28"/>
        </w:rPr>
        <w:t xml:space="preserve">injustificado entre entidades vigiladas y no vigiladas que otorgan créditos mediante medios electrónicos. </w:t>
      </w:r>
    </w:p>
    <w:p w:rsidR="00BF48A7" w:rsidRPr="00862128" w:rsidRDefault="00862128" w:rsidP="00BE5143">
      <w:pPr>
        <w:pStyle w:val="Prrafodelista"/>
        <w:rPr>
          <w:rFonts w:ascii="Times New Roman" w:hAnsi="Times New Roman"/>
          <w:sz w:val="28"/>
          <w:szCs w:val="28"/>
        </w:rPr>
      </w:pPr>
    </w:p>
    <w:p w:rsidR="001D135A"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Señal</w:t>
      </w:r>
      <w:r w:rsidRPr="00862128">
        <w:rPr>
          <w:rFonts w:ascii="Times New Roman" w:hAnsi="Times New Roman"/>
          <w:sz w:val="28"/>
          <w:szCs w:val="28"/>
        </w:rPr>
        <w:t>ó</w:t>
      </w:r>
      <w:r w:rsidRPr="00862128">
        <w:rPr>
          <w:rFonts w:ascii="Times New Roman" w:hAnsi="Times New Roman"/>
          <w:sz w:val="28"/>
          <w:szCs w:val="28"/>
        </w:rPr>
        <w:t xml:space="preserve"> </w:t>
      </w:r>
      <w:r w:rsidRPr="00862128">
        <w:rPr>
          <w:rFonts w:ascii="Times New Roman" w:hAnsi="Times New Roman"/>
          <w:sz w:val="28"/>
          <w:szCs w:val="28"/>
        </w:rPr>
        <w:t>que la norma permite a las entidades no vigiladas excluir del cómputo de intereses el costo de la firma electrónica, mientras que las entidades vigiladas deben incluirlo, lo que genera una asimetría regulatoria que vulnera el principio de igualdad (art. 13</w:t>
      </w:r>
      <w:r w:rsidRPr="00862128">
        <w:rPr>
          <w:rFonts w:ascii="Times New Roman" w:hAnsi="Times New Roman"/>
          <w:sz w:val="28"/>
          <w:szCs w:val="28"/>
        </w:rPr>
        <w:t xml:space="preserve"> CP). A través del juicio integrado de igualdad, </w:t>
      </w:r>
      <w:r w:rsidRPr="00862128">
        <w:rPr>
          <w:rFonts w:ascii="Times New Roman" w:hAnsi="Times New Roman"/>
          <w:sz w:val="28"/>
          <w:szCs w:val="28"/>
        </w:rPr>
        <w:t xml:space="preserve">concluyó </w:t>
      </w:r>
      <w:r w:rsidRPr="00862128">
        <w:rPr>
          <w:rFonts w:ascii="Times New Roman" w:hAnsi="Times New Roman"/>
          <w:sz w:val="28"/>
          <w:szCs w:val="28"/>
        </w:rPr>
        <w:t>que ambos tipos de entidades ofrecen productos similares a los mismos consumidores, por lo que deben recibir un tratamiento normativo equivalente. La diferenciación basada únicamente en la existenci</w:t>
      </w:r>
      <w:r w:rsidRPr="00862128">
        <w:rPr>
          <w:rFonts w:ascii="Times New Roman" w:hAnsi="Times New Roman"/>
          <w:sz w:val="28"/>
          <w:szCs w:val="28"/>
        </w:rPr>
        <w:t xml:space="preserve">a de vigilancia administrativa no es constitucionalmente válida, según precedentes de la Corte. Además, </w:t>
      </w:r>
      <w:r w:rsidRPr="00862128">
        <w:rPr>
          <w:rFonts w:ascii="Times New Roman" w:hAnsi="Times New Roman"/>
          <w:sz w:val="28"/>
          <w:szCs w:val="28"/>
        </w:rPr>
        <w:t xml:space="preserve">advirtió </w:t>
      </w:r>
      <w:r w:rsidRPr="00862128">
        <w:rPr>
          <w:rFonts w:ascii="Times New Roman" w:hAnsi="Times New Roman"/>
          <w:sz w:val="28"/>
          <w:szCs w:val="28"/>
        </w:rPr>
        <w:t xml:space="preserve">que </w:t>
      </w:r>
      <w:r w:rsidRPr="00862128">
        <w:rPr>
          <w:rFonts w:ascii="Times New Roman" w:hAnsi="Times New Roman"/>
          <w:sz w:val="28"/>
          <w:szCs w:val="28"/>
        </w:rPr>
        <w:t xml:space="preserve">la </w:t>
      </w:r>
      <w:r w:rsidRPr="00862128">
        <w:rPr>
          <w:rFonts w:ascii="Times New Roman" w:hAnsi="Times New Roman"/>
          <w:sz w:val="28"/>
          <w:szCs w:val="28"/>
        </w:rPr>
        <w:t>dualidad normativa afecta a los consumidores, quienes enfrentan mayores costos de búsqueda y menor claridad sobre el valor total del cré</w:t>
      </w:r>
      <w:r w:rsidRPr="00862128">
        <w:rPr>
          <w:rFonts w:ascii="Times New Roman" w:hAnsi="Times New Roman"/>
          <w:sz w:val="28"/>
          <w:szCs w:val="28"/>
        </w:rPr>
        <w:t>dito, lo que dificulta decisiones informadas.</w:t>
      </w:r>
    </w:p>
    <w:p w:rsidR="001D135A" w:rsidRPr="00862128" w:rsidRDefault="00862128" w:rsidP="00BE5143">
      <w:pPr>
        <w:pStyle w:val="Prrafodelista"/>
        <w:rPr>
          <w:rFonts w:ascii="Times New Roman" w:hAnsi="Times New Roman"/>
          <w:sz w:val="28"/>
          <w:szCs w:val="28"/>
        </w:rPr>
      </w:pPr>
    </w:p>
    <w:p w:rsidR="001D135A"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S</w:t>
      </w:r>
      <w:r w:rsidRPr="00862128">
        <w:rPr>
          <w:rFonts w:ascii="Times New Roman" w:hAnsi="Times New Roman"/>
          <w:sz w:val="28"/>
          <w:szCs w:val="28"/>
        </w:rPr>
        <w:t>ost</w:t>
      </w:r>
      <w:r w:rsidRPr="00862128">
        <w:rPr>
          <w:rFonts w:ascii="Times New Roman" w:hAnsi="Times New Roman"/>
          <w:sz w:val="28"/>
          <w:szCs w:val="28"/>
        </w:rPr>
        <w:t>uvo</w:t>
      </w:r>
      <w:r w:rsidRPr="00862128">
        <w:rPr>
          <w:rFonts w:ascii="Times New Roman" w:hAnsi="Times New Roman"/>
          <w:sz w:val="28"/>
          <w:szCs w:val="28"/>
        </w:rPr>
        <w:t xml:space="preserve"> que </w:t>
      </w:r>
      <w:r w:rsidRPr="00862128">
        <w:rPr>
          <w:rFonts w:ascii="Times New Roman" w:hAnsi="Times New Roman"/>
          <w:sz w:val="28"/>
          <w:szCs w:val="28"/>
        </w:rPr>
        <w:t xml:space="preserve">la medida vulnera el derecho a la protección del consumidor (art. 78 CP), al permitir que el costo de la firma electrónica se cobre como un rubro independiente, sin estar sujeto a límites legales, </w:t>
      </w:r>
      <w:r w:rsidRPr="00862128">
        <w:rPr>
          <w:rFonts w:ascii="Times New Roman" w:hAnsi="Times New Roman"/>
          <w:sz w:val="28"/>
          <w:szCs w:val="28"/>
        </w:rPr>
        <w:t xml:space="preserve">lo que puede incrementar el valor total del crédito. </w:t>
      </w:r>
      <w:r w:rsidRPr="00862128">
        <w:rPr>
          <w:rFonts w:ascii="Times New Roman" w:hAnsi="Times New Roman"/>
          <w:sz w:val="28"/>
          <w:szCs w:val="28"/>
        </w:rPr>
        <w:t>D</w:t>
      </w:r>
      <w:r w:rsidRPr="00862128">
        <w:rPr>
          <w:rFonts w:ascii="Times New Roman" w:hAnsi="Times New Roman"/>
          <w:sz w:val="28"/>
          <w:szCs w:val="28"/>
        </w:rPr>
        <w:t>estac</w:t>
      </w:r>
      <w:r w:rsidRPr="00862128">
        <w:rPr>
          <w:rFonts w:ascii="Times New Roman" w:hAnsi="Times New Roman"/>
          <w:sz w:val="28"/>
          <w:szCs w:val="28"/>
        </w:rPr>
        <w:t>ó</w:t>
      </w:r>
      <w:r w:rsidRPr="00862128">
        <w:rPr>
          <w:rFonts w:ascii="Times New Roman" w:hAnsi="Times New Roman"/>
          <w:sz w:val="28"/>
          <w:szCs w:val="28"/>
        </w:rPr>
        <w:t xml:space="preserve"> que la firma electrónica es un elemento indispensable en las operaciones de crédito digital, por lo que debe reputarse como interés. </w:t>
      </w:r>
    </w:p>
    <w:p w:rsidR="001D135A" w:rsidRPr="00862128" w:rsidRDefault="00862128" w:rsidP="00BE5143">
      <w:pPr>
        <w:pStyle w:val="Prrafodelista"/>
        <w:rPr>
          <w:rFonts w:ascii="Times New Roman" w:hAnsi="Times New Roman"/>
          <w:sz w:val="28"/>
          <w:szCs w:val="28"/>
        </w:rPr>
      </w:pPr>
    </w:p>
    <w:p w:rsidR="00D22ACC"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Asimismo, argument</w:t>
      </w:r>
      <w:r w:rsidRPr="00862128">
        <w:rPr>
          <w:rFonts w:ascii="Times New Roman" w:hAnsi="Times New Roman"/>
          <w:sz w:val="28"/>
          <w:szCs w:val="28"/>
        </w:rPr>
        <w:t>ó</w:t>
      </w:r>
      <w:r w:rsidRPr="00862128">
        <w:rPr>
          <w:rFonts w:ascii="Times New Roman" w:hAnsi="Times New Roman"/>
          <w:sz w:val="28"/>
          <w:szCs w:val="28"/>
        </w:rPr>
        <w:t xml:space="preserve"> que la disposición afecta la libre compe</w:t>
      </w:r>
      <w:r w:rsidRPr="00862128">
        <w:rPr>
          <w:rFonts w:ascii="Times New Roman" w:hAnsi="Times New Roman"/>
          <w:sz w:val="28"/>
          <w:szCs w:val="28"/>
        </w:rPr>
        <w:t xml:space="preserve">tencia económica (art. 333 CP), al otorgar ventajas competitivas injustificadas a las entidades no vigiladas, que pueden ofrecer tasas de interés artificialmente bajas al excluir ciertos costos del cálculo. Esta situación distorsiona el mercado, dificulta </w:t>
      </w:r>
      <w:r w:rsidRPr="00862128">
        <w:rPr>
          <w:rFonts w:ascii="Times New Roman" w:hAnsi="Times New Roman"/>
          <w:sz w:val="28"/>
          <w:szCs w:val="28"/>
        </w:rPr>
        <w:t>la comparación entre ofertas y expone a los consumidores a prácticas comerciales engañosas</w:t>
      </w:r>
      <w:r w:rsidRPr="00862128">
        <w:rPr>
          <w:rFonts w:ascii="Times New Roman" w:hAnsi="Times New Roman"/>
          <w:sz w:val="28"/>
          <w:szCs w:val="28"/>
        </w:rPr>
        <w:t>.</w:t>
      </w:r>
    </w:p>
    <w:p w:rsidR="0005361D" w:rsidRPr="00862128" w:rsidRDefault="00862128" w:rsidP="00BE5143">
      <w:pPr>
        <w:pStyle w:val="Prrafodelista"/>
        <w:rPr>
          <w:rFonts w:ascii="Times New Roman" w:hAnsi="Times New Roman"/>
          <w:sz w:val="28"/>
          <w:szCs w:val="28"/>
        </w:rPr>
      </w:pPr>
    </w:p>
    <w:p w:rsidR="0047243A"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Consider</w:t>
      </w:r>
      <w:r w:rsidRPr="00862128">
        <w:rPr>
          <w:rFonts w:ascii="Times New Roman" w:hAnsi="Times New Roman"/>
          <w:sz w:val="28"/>
          <w:szCs w:val="28"/>
        </w:rPr>
        <w:t>ó</w:t>
      </w:r>
      <w:r w:rsidRPr="00862128">
        <w:rPr>
          <w:rFonts w:ascii="Times New Roman" w:hAnsi="Times New Roman"/>
          <w:sz w:val="28"/>
          <w:szCs w:val="28"/>
        </w:rPr>
        <w:t xml:space="preserve"> </w:t>
      </w:r>
      <w:r w:rsidRPr="00862128">
        <w:rPr>
          <w:rFonts w:ascii="Times New Roman" w:hAnsi="Times New Roman"/>
          <w:sz w:val="28"/>
          <w:szCs w:val="28"/>
        </w:rPr>
        <w:t xml:space="preserve">que la exclusión de la "firma electrónica" del cálculo de intereses para las entidades no vigiladas crea una desigualdad injustificada, perjudica a los </w:t>
      </w:r>
      <w:r w:rsidRPr="00862128">
        <w:rPr>
          <w:rFonts w:ascii="Times New Roman" w:hAnsi="Times New Roman"/>
          <w:sz w:val="28"/>
          <w:szCs w:val="28"/>
        </w:rPr>
        <w:t>consumidores al hacer el costo del crédito menos transparente y potencialmente más alto, y distorsiona la libre competencia en el mercado crediticio digital</w:t>
      </w:r>
      <w:r w:rsidRPr="00862128">
        <w:rPr>
          <w:rFonts w:ascii="Times New Roman" w:hAnsi="Times New Roman"/>
          <w:sz w:val="28"/>
          <w:szCs w:val="28"/>
        </w:rPr>
        <w:t>.</w:t>
      </w:r>
    </w:p>
    <w:p w:rsidR="0005361D" w:rsidRPr="00862128" w:rsidRDefault="00862128" w:rsidP="00BE5143">
      <w:pPr>
        <w:pStyle w:val="Prrafodelista"/>
        <w:rPr>
          <w:rFonts w:ascii="Times New Roman" w:hAnsi="Times New Roman"/>
          <w:sz w:val="28"/>
          <w:szCs w:val="28"/>
        </w:rPr>
      </w:pPr>
    </w:p>
    <w:p w:rsidR="009F2346" w:rsidRPr="00862128" w:rsidRDefault="00862128" w:rsidP="00BE5143">
      <w:pPr>
        <w:pStyle w:val="Prrafodelista"/>
        <w:numPr>
          <w:ilvl w:val="0"/>
          <w:numId w:val="4"/>
        </w:numPr>
        <w:tabs>
          <w:tab w:val="left" w:pos="567"/>
        </w:tabs>
        <w:autoSpaceDE w:val="0"/>
        <w:autoSpaceDN w:val="0"/>
        <w:ind w:left="0" w:firstLine="0"/>
        <w:contextualSpacing w:val="0"/>
        <w:jc w:val="both"/>
        <w:textAlignment w:val="baseline"/>
        <w:rPr>
          <w:rFonts w:ascii="Times New Roman" w:hAnsi="Times New Roman"/>
          <w:sz w:val="28"/>
          <w:szCs w:val="28"/>
        </w:rPr>
      </w:pPr>
      <w:r w:rsidRPr="00862128">
        <w:rPr>
          <w:rFonts w:ascii="Times New Roman" w:hAnsi="Times New Roman"/>
          <w:sz w:val="28"/>
          <w:szCs w:val="28"/>
        </w:rPr>
        <w:t>C</w:t>
      </w:r>
      <w:r w:rsidRPr="00862128">
        <w:rPr>
          <w:rFonts w:ascii="Times New Roman" w:hAnsi="Times New Roman"/>
          <w:sz w:val="28"/>
          <w:szCs w:val="28"/>
        </w:rPr>
        <w:t>oncluy</w:t>
      </w:r>
      <w:r w:rsidRPr="00862128">
        <w:rPr>
          <w:rFonts w:ascii="Times New Roman" w:hAnsi="Times New Roman"/>
          <w:sz w:val="28"/>
          <w:szCs w:val="28"/>
        </w:rPr>
        <w:t>ó</w:t>
      </w:r>
      <w:r w:rsidRPr="00862128">
        <w:rPr>
          <w:rFonts w:ascii="Times New Roman" w:hAnsi="Times New Roman"/>
          <w:sz w:val="28"/>
          <w:szCs w:val="28"/>
        </w:rPr>
        <w:t xml:space="preserve"> que la medida no persigue un fin constitucional legítimo ni cumple con los principios de</w:t>
      </w:r>
      <w:r w:rsidRPr="00862128">
        <w:rPr>
          <w:rFonts w:ascii="Times New Roman" w:hAnsi="Times New Roman"/>
          <w:sz w:val="28"/>
          <w:szCs w:val="28"/>
        </w:rPr>
        <w:t xml:space="preserve"> razonabilidad y proporcionalidad, por lo que debe ser retirada del ordenamiento jurídico.</w:t>
      </w:r>
    </w:p>
    <w:p w:rsidR="009F2346" w:rsidRPr="00862128" w:rsidRDefault="00862128" w:rsidP="00BE5143">
      <w:pPr>
        <w:pStyle w:val="Prrafodelista"/>
        <w:ind w:left="1070"/>
        <w:rPr>
          <w:rFonts w:ascii="Times New Roman" w:hAnsi="Times New Roman"/>
          <w:sz w:val="28"/>
          <w:szCs w:val="28"/>
        </w:rPr>
      </w:pPr>
    </w:p>
    <w:p w:rsidR="006458E8" w:rsidRPr="00862128" w:rsidRDefault="00862128" w:rsidP="00BE5143">
      <w:pPr>
        <w:pStyle w:val="Ttulo1"/>
        <w:spacing w:before="0" w:after="0"/>
        <w:rPr>
          <w:rFonts w:ascii="Times New Roman" w:hAnsi="Times New Roman"/>
          <w:b/>
          <w:bCs/>
          <w:color w:val="auto"/>
          <w:sz w:val="28"/>
          <w:szCs w:val="28"/>
        </w:rPr>
      </w:pPr>
      <w:bookmarkStart w:id="17" w:name="_Toc223713281"/>
      <w:r w:rsidRPr="00862128">
        <w:rPr>
          <w:rFonts w:ascii="Times New Roman" w:hAnsi="Times New Roman"/>
          <w:b/>
          <w:bCs/>
          <w:color w:val="auto"/>
          <w:sz w:val="28"/>
          <w:szCs w:val="28"/>
        </w:rPr>
        <w:t>II.</w:t>
      </w:r>
      <w:r w:rsidRPr="00862128">
        <w:rPr>
          <w:rFonts w:ascii="Times New Roman" w:hAnsi="Times New Roman"/>
          <w:b/>
          <w:bCs/>
          <w:color w:val="auto"/>
          <w:sz w:val="28"/>
          <w:szCs w:val="28"/>
        </w:rPr>
        <w:t xml:space="preserve"> </w:t>
      </w:r>
      <w:r w:rsidRPr="00862128">
        <w:rPr>
          <w:rFonts w:ascii="Times New Roman" w:hAnsi="Times New Roman"/>
          <w:b/>
          <w:bCs/>
          <w:color w:val="auto"/>
          <w:sz w:val="28"/>
          <w:szCs w:val="28"/>
        </w:rPr>
        <w:t>CONSIDERACIONES</w:t>
      </w:r>
      <w:bookmarkEnd w:id="17"/>
    </w:p>
    <w:p w:rsidR="006458E8"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
          <w:bCs/>
          <w:sz w:val="28"/>
          <w:szCs w:val="28"/>
        </w:rPr>
      </w:pPr>
    </w:p>
    <w:p w:rsidR="006458E8" w:rsidRPr="00862128" w:rsidRDefault="00862128" w:rsidP="00BE5143">
      <w:pPr>
        <w:pStyle w:val="Ttulo3"/>
        <w:spacing w:before="0" w:after="0"/>
        <w:rPr>
          <w:rFonts w:ascii="Times New Roman" w:hAnsi="Times New Roman"/>
          <w:b/>
          <w:bCs/>
          <w:color w:val="auto"/>
        </w:rPr>
      </w:pPr>
      <w:bookmarkStart w:id="18" w:name="_Toc223713282"/>
      <w:r w:rsidRPr="00862128">
        <w:rPr>
          <w:rFonts w:ascii="Times New Roman" w:hAnsi="Times New Roman"/>
          <w:b/>
          <w:bCs/>
          <w:color w:val="auto"/>
        </w:rPr>
        <w:t>1</w:t>
      </w:r>
      <w:r w:rsidRPr="00862128">
        <w:rPr>
          <w:rFonts w:ascii="Times New Roman" w:hAnsi="Times New Roman"/>
          <w:b/>
          <w:bCs/>
          <w:color w:val="auto"/>
        </w:rPr>
        <w:t xml:space="preserve">. </w:t>
      </w:r>
      <w:r w:rsidRPr="00862128">
        <w:rPr>
          <w:rFonts w:ascii="Times New Roman" w:hAnsi="Times New Roman"/>
          <w:b/>
          <w:bCs/>
          <w:color w:val="auto"/>
        </w:rPr>
        <w:t>Competencia de la Corte</w:t>
      </w:r>
      <w:bookmarkEnd w:id="18"/>
    </w:p>
    <w:p w:rsidR="00794FDC" w:rsidRPr="00862128" w:rsidRDefault="00862128" w:rsidP="00BE5143">
      <w:pPr>
        <w:tabs>
          <w:tab w:val="left" w:pos="567"/>
        </w:tabs>
        <w:jc w:val="both"/>
        <w:rPr>
          <w:rFonts w:ascii="Times New Roman" w:hAnsi="Times New Roman"/>
          <w:sz w:val="28"/>
          <w:szCs w:val="28"/>
        </w:rPr>
      </w:pPr>
    </w:p>
    <w:p w:rsidR="005D256E"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De </w:t>
      </w:r>
      <w:r w:rsidRPr="00862128">
        <w:rPr>
          <w:rFonts w:ascii="Times New Roman" w:hAnsi="Times New Roman"/>
          <w:sz w:val="28"/>
          <w:szCs w:val="28"/>
        </w:rPr>
        <w:t>conformidad</w:t>
      </w:r>
      <w:r w:rsidRPr="00862128">
        <w:rPr>
          <w:rFonts w:ascii="Times New Roman" w:hAnsi="Times New Roman"/>
          <w:sz w:val="28"/>
          <w:szCs w:val="28"/>
        </w:rPr>
        <w:t xml:space="preserve"> con lo dispuesto en el artículo 241 numeral 4 de la Constitución Política, la Corte Constitucional es competente para pronunciarse sobre la demanda de inconstitucionalidad</w:t>
      </w:r>
      <w:r w:rsidRPr="00862128">
        <w:rPr>
          <w:rFonts w:ascii="Times New Roman" w:hAnsi="Times New Roman"/>
          <w:sz w:val="28"/>
          <w:szCs w:val="28"/>
        </w:rPr>
        <w:t xml:space="preserve"> de la referencia.</w:t>
      </w:r>
    </w:p>
    <w:p w:rsidR="004174C9" w:rsidRPr="00862128" w:rsidRDefault="00862128" w:rsidP="00BE5143">
      <w:pPr>
        <w:pStyle w:val="Prrafodelista"/>
        <w:tabs>
          <w:tab w:val="left" w:pos="567"/>
        </w:tabs>
        <w:ind w:left="0"/>
        <w:jc w:val="both"/>
        <w:rPr>
          <w:rFonts w:ascii="Times New Roman" w:hAnsi="Times New Roman"/>
          <w:sz w:val="28"/>
          <w:szCs w:val="28"/>
        </w:rPr>
      </w:pPr>
    </w:p>
    <w:p w:rsidR="000C45B9" w:rsidRPr="00862128" w:rsidRDefault="00862128" w:rsidP="00BE5143">
      <w:pPr>
        <w:pStyle w:val="Ttulo3"/>
        <w:spacing w:before="0" w:after="0"/>
        <w:rPr>
          <w:rFonts w:ascii="Times New Roman" w:hAnsi="Times New Roman"/>
          <w:b/>
          <w:bCs/>
          <w:color w:val="auto"/>
        </w:rPr>
      </w:pPr>
      <w:bookmarkStart w:id="19" w:name="_Toc223713283"/>
      <w:r w:rsidRPr="00862128">
        <w:rPr>
          <w:rFonts w:ascii="Times New Roman" w:hAnsi="Times New Roman"/>
          <w:b/>
          <w:bCs/>
          <w:color w:val="auto"/>
        </w:rPr>
        <w:t>2</w:t>
      </w:r>
      <w:r w:rsidRPr="00862128">
        <w:rPr>
          <w:rFonts w:ascii="Times New Roman" w:hAnsi="Times New Roman"/>
          <w:b/>
          <w:bCs/>
          <w:color w:val="auto"/>
        </w:rPr>
        <w:t xml:space="preserve">. </w:t>
      </w:r>
      <w:r w:rsidRPr="00862128">
        <w:rPr>
          <w:rFonts w:ascii="Times New Roman" w:hAnsi="Times New Roman"/>
          <w:b/>
          <w:bCs/>
          <w:color w:val="auto"/>
        </w:rPr>
        <w:t>Análisis de constitucionalidad</w:t>
      </w:r>
      <w:bookmarkEnd w:id="19"/>
      <w:r w:rsidRPr="00862128">
        <w:rPr>
          <w:rFonts w:ascii="Times New Roman" w:hAnsi="Times New Roman"/>
          <w:b/>
          <w:bCs/>
          <w:color w:val="auto"/>
        </w:rPr>
        <w:t xml:space="preserve"> </w:t>
      </w:r>
    </w:p>
    <w:p w:rsidR="000C45B9" w:rsidRPr="00862128" w:rsidRDefault="00862128" w:rsidP="00BE5143">
      <w:pPr>
        <w:pStyle w:val="Ttulo2"/>
        <w:spacing w:before="0" w:after="0"/>
        <w:rPr>
          <w:rFonts w:ascii="Times New Roman" w:hAnsi="Times New Roman"/>
          <w:b/>
          <w:bCs/>
          <w:color w:val="auto"/>
          <w:sz w:val="28"/>
        </w:rPr>
      </w:pPr>
    </w:p>
    <w:p w:rsidR="000C45B9" w:rsidRPr="00862128" w:rsidRDefault="00862128" w:rsidP="003664DF">
      <w:pPr>
        <w:rPr>
          <w:rFonts w:ascii="Times New Roman" w:hAnsi="Times New Roman"/>
          <w:b/>
          <w:bCs/>
          <w:sz w:val="28"/>
        </w:rPr>
      </w:pPr>
      <w:r w:rsidRPr="00862128">
        <w:rPr>
          <w:rFonts w:ascii="Times New Roman" w:hAnsi="Times New Roman"/>
          <w:b/>
          <w:bCs/>
          <w:sz w:val="28"/>
          <w:szCs w:val="28"/>
        </w:rPr>
        <w:t>2</w:t>
      </w:r>
      <w:r w:rsidRPr="00862128">
        <w:rPr>
          <w:rFonts w:ascii="Times New Roman" w:hAnsi="Times New Roman"/>
          <w:b/>
          <w:bCs/>
          <w:sz w:val="28"/>
          <w:szCs w:val="28"/>
        </w:rPr>
        <w:t>.1.</w:t>
      </w:r>
      <w:r w:rsidRPr="00862128">
        <w:rPr>
          <w:rFonts w:ascii="Times New Roman" w:hAnsi="Times New Roman"/>
          <w:b/>
          <w:bCs/>
          <w:sz w:val="28"/>
          <w:szCs w:val="28"/>
        </w:rPr>
        <w:t xml:space="preserve"> </w:t>
      </w:r>
      <w:r w:rsidRPr="00862128">
        <w:rPr>
          <w:rFonts w:ascii="Times New Roman" w:hAnsi="Times New Roman"/>
          <w:b/>
          <w:bCs/>
          <w:sz w:val="28"/>
          <w:szCs w:val="28"/>
        </w:rPr>
        <w:t>Alcance de la norma</w:t>
      </w:r>
      <w:r w:rsidRPr="00862128">
        <w:rPr>
          <w:rFonts w:ascii="Times New Roman" w:hAnsi="Times New Roman"/>
          <w:b/>
          <w:bCs/>
          <w:sz w:val="28"/>
          <w:szCs w:val="28"/>
        </w:rPr>
        <w:t xml:space="preserve"> demandada</w:t>
      </w:r>
    </w:p>
    <w:p w:rsidR="002C78AC" w:rsidRPr="00862128" w:rsidRDefault="00862128" w:rsidP="002C78AC">
      <w:pPr>
        <w:pStyle w:val="Prrafodelista"/>
        <w:tabs>
          <w:tab w:val="left" w:pos="567"/>
        </w:tabs>
        <w:ind w:left="0"/>
        <w:jc w:val="both"/>
        <w:rPr>
          <w:rFonts w:ascii="Times New Roman" w:hAnsi="Times New Roman"/>
          <w:sz w:val="28"/>
          <w:szCs w:val="28"/>
        </w:rPr>
      </w:pPr>
    </w:p>
    <w:p w:rsidR="000C45B9" w:rsidRPr="00862128" w:rsidRDefault="00862128" w:rsidP="003664DF">
      <w:pPr>
        <w:pStyle w:val="Prrafodelista"/>
        <w:numPr>
          <w:ilvl w:val="0"/>
          <w:numId w:val="4"/>
        </w:numPr>
        <w:tabs>
          <w:tab w:val="left" w:pos="567"/>
        </w:tabs>
        <w:ind w:left="0" w:firstLine="0"/>
        <w:jc w:val="both"/>
        <w:rPr>
          <w:rFonts w:ascii="Times New Roman" w:hAnsi="Times New Roman"/>
          <w:sz w:val="28"/>
          <w:szCs w:val="26"/>
        </w:rPr>
      </w:pPr>
      <w:r w:rsidRPr="00862128">
        <w:rPr>
          <w:rFonts w:ascii="Times New Roman" w:hAnsi="Times New Roman"/>
          <w:sz w:val="28"/>
          <w:szCs w:val="28"/>
        </w:rPr>
        <w:t>Previo a realizar el examen de constitucionalidad es necesario señalar lo siguiente respecto del parágrafo 3 del artículo 45 de la Ley 1480 de 2011 (adicionado por el artículo 7 de la Ley 2439 de 2024), cuyo texto se transcrib</w:t>
      </w:r>
      <w:r w:rsidRPr="00862128">
        <w:rPr>
          <w:rFonts w:ascii="Times New Roman" w:hAnsi="Times New Roman"/>
          <w:sz w:val="28"/>
          <w:szCs w:val="28"/>
        </w:rPr>
        <w:t>ió  en</w:t>
      </w:r>
      <w:r w:rsidRPr="00862128">
        <w:rPr>
          <w:rFonts w:ascii="Times New Roman" w:hAnsi="Times New Roman"/>
          <w:sz w:val="28"/>
          <w:szCs w:val="28"/>
        </w:rPr>
        <w:t xml:space="preserve"> el apartado de antecedentes. </w:t>
      </w:r>
    </w:p>
    <w:p w:rsidR="000C45B9" w:rsidRPr="00862128" w:rsidRDefault="00862128" w:rsidP="00BE5143">
      <w:pPr>
        <w:pStyle w:val="Prrafodelista"/>
        <w:tabs>
          <w:tab w:val="left" w:pos="567"/>
        </w:tabs>
        <w:ind w:left="0"/>
        <w:jc w:val="both"/>
        <w:rPr>
          <w:rFonts w:ascii="Times New Roman" w:hAnsi="Times New Roman"/>
          <w:sz w:val="28"/>
          <w:szCs w:val="28"/>
        </w:rPr>
      </w:pPr>
    </w:p>
    <w:p w:rsidR="000C45B9"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En primer lugar, dicho parágrafo crea una</w:t>
      </w:r>
      <w:r w:rsidRPr="00862128">
        <w:rPr>
          <w:rFonts w:ascii="Times New Roman" w:hAnsi="Times New Roman"/>
          <w:sz w:val="28"/>
          <w:szCs w:val="28"/>
        </w:rPr>
        <w:t xml:space="preserve"> regla </w:t>
      </w:r>
      <w:r w:rsidRPr="00862128">
        <w:rPr>
          <w:rFonts w:ascii="Times New Roman" w:hAnsi="Times New Roman"/>
          <w:sz w:val="28"/>
          <w:szCs w:val="28"/>
        </w:rPr>
        <w:t>aplicable al otorgamiento y ejecución de operaciones de crédito que realicen mediante medios electrónicos, las personas naturales o jurídicas cuyo control y vigilancia sobre su</w:t>
      </w:r>
      <w:r w:rsidRPr="00862128">
        <w:rPr>
          <w:rFonts w:ascii="Times New Roman" w:hAnsi="Times New Roman"/>
          <w:sz w:val="28"/>
          <w:szCs w:val="28"/>
        </w:rPr>
        <w:t xml:space="preserve"> actividad crediticia no haya sido asignada a alguna autoridad administrativa en particular. Comprende el uso de cualquier tecnología para dicho efecto y, desde luego, el uso de los equivalentes funcionales contenidos en la Ley 527 de 1999 y las respectiva</w:t>
      </w:r>
      <w:r w:rsidRPr="00862128">
        <w:rPr>
          <w:rFonts w:ascii="Times New Roman" w:hAnsi="Times New Roman"/>
          <w:sz w:val="28"/>
          <w:szCs w:val="28"/>
        </w:rPr>
        <w:t>s disposiciones reglamentarias.</w:t>
      </w:r>
    </w:p>
    <w:p w:rsidR="000C45B9" w:rsidRPr="00862128" w:rsidRDefault="00862128" w:rsidP="00BE5143">
      <w:pPr>
        <w:pStyle w:val="Prrafodelista"/>
        <w:tabs>
          <w:tab w:val="left" w:pos="567"/>
        </w:tabs>
        <w:ind w:left="0"/>
        <w:jc w:val="both"/>
        <w:rPr>
          <w:rFonts w:ascii="Times New Roman" w:hAnsi="Times New Roman"/>
          <w:sz w:val="28"/>
          <w:szCs w:val="28"/>
        </w:rPr>
      </w:pPr>
    </w:p>
    <w:p w:rsidR="000C45B9"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En segundo lugar, obliga a que se informe al consumidor de manera detallada y separada todos y cada uno de los costos que se encuentren directamente asociados al crédito. Además, señala que esa clase de cargos  “hacen parte</w:t>
      </w:r>
      <w:r w:rsidRPr="00862128">
        <w:rPr>
          <w:rFonts w:ascii="Times New Roman" w:hAnsi="Times New Roman"/>
          <w:sz w:val="28"/>
          <w:szCs w:val="28"/>
        </w:rPr>
        <w:t xml:space="preserve"> de los intereses causados, sin que se pueda exceder los límites máximos legales vigentes”</w:t>
      </w:r>
      <w:r w:rsidRPr="00862128">
        <w:rPr>
          <w:rFonts w:ascii="Times New Roman" w:hAnsi="Times New Roman"/>
          <w:sz w:val="28"/>
          <w:szCs w:val="28"/>
        </w:rPr>
        <w:t>.</w:t>
      </w:r>
    </w:p>
    <w:p w:rsidR="000C45B9" w:rsidRPr="00862128" w:rsidRDefault="00862128" w:rsidP="00BE5143">
      <w:pPr>
        <w:pStyle w:val="Prrafodelista"/>
        <w:tabs>
          <w:tab w:val="left" w:pos="567"/>
        </w:tabs>
        <w:ind w:left="0"/>
        <w:jc w:val="both"/>
        <w:rPr>
          <w:rFonts w:ascii="Times New Roman" w:hAnsi="Times New Roman"/>
          <w:sz w:val="28"/>
          <w:szCs w:val="28"/>
        </w:rPr>
      </w:pPr>
    </w:p>
    <w:p w:rsidR="000C45B9"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En tercer lugar, establece que, salvo la firma electrónica, todos los “cargos por concepto de uso de tecnología” hacen parte de los intereses. Para el legislador, </w:t>
      </w:r>
      <w:r w:rsidRPr="00862128">
        <w:rPr>
          <w:rFonts w:ascii="Times New Roman" w:hAnsi="Times New Roman"/>
          <w:sz w:val="28"/>
          <w:szCs w:val="28"/>
        </w:rPr>
        <w:t>la firma electrónica, los seguros, avales e impuestos son “rubros”  que se causan de manera independiente al crédito que no hacen parte del concepto de intereses y que, por ende, pueden cobrarse por separado “cuando hayan sido debidamente informados” al co</w:t>
      </w:r>
      <w:r w:rsidRPr="00862128">
        <w:rPr>
          <w:rFonts w:ascii="Times New Roman" w:hAnsi="Times New Roman"/>
          <w:sz w:val="28"/>
          <w:szCs w:val="28"/>
        </w:rPr>
        <w:t>nsumidor, y “sin perjuicio de los casos en que las normas expresamente los reputen como tal”.</w:t>
      </w:r>
    </w:p>
    <w:p w:rsidR="000C45B9" w:rsidRPr="00862128" w:rsidRDefault="00862128" w:rsidP="00BE5143">
      <w:pPr>
        <w:pStyle w:val="Prrafodelista"/>
        <w:rPr>
          <w:rFonts w:ascii="Times New Roman" w:hAnsi="Times New Roman"/>
          <w:sz w:val="28"/>
          <w:szCs w:val="28"/>
        </w:rPr>
      </w:pPr>
    </w:p>
    <w:p w:rsidR="000C45B9" w:rsidRPr="00862128" w:rsidRDefault="00862128" w:rsidP="00BE5143">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En cuarto lugar, no es obligatorio utilizar la firma electrónica ni asumir su costo si la misma puede suplirse de manera física. Para el efecto, se deberá </w:t>
      </w:r>
      <w:r w:rsidRPr="00862128">
        <w:rPr>
          <w:rFonts w:ascii="Times New Roman" w:hAnsi="Times New Roman"/>
          <w:sz w:val="28"/>
          <w:szCs w:val="28"/>
        </w:rPr>
        <w:t>informar al consumidor que la firma electrónica puede ser reemplazada por la firma manuscrita con el objetivo de que elija la forma que prefiera.</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 xml:space="preserve">La demanda se centra en el uso de la </w:t>
      </w:r>
      <w:r w:rsidRPr="00862128">
        <w:rPr>
          <w:color w:val="auto"/>
          <w:sz w:val="28"/>
          <w:szCs w:val="28"/>
        </w:rPr>
        <w:t>“</w:t>
      </w:r>
      <w:r w:rsidRPr="00862128">
        <w:rPr>
          <w:color w:val="auto"/>
          <w:sz w:val="28"/>
          <w:szCs w:val="28"/>
        </w:rPr>
        <w:t>firma</w:t>
      </w:r>
      <w:r w:rsidRPr="00862128">
        <w:rPr>
          <w:color w:val="auto"/>
          <w:sz w:val="28"/>
          <w:szCs w:val="28"/>
        </w:rPr>
        <w:t xml:space="preserve"> electrónica</w:t>
      </w:r>
      <w:r w:rsidRPr="00862128">
        <w:rPr>
          <w:color w:val="auto"/>
          <w:sz w:val="28"/>
          <w:szCs w:val="28"/>
        </w:rPr>
        <w:t>”</w:t>
      </w:r>
      <w:r w:rsidRPr="00862128">
        <w:rPr>
          <w:color w:val="auto"/>
          <w:sz w:val="28"/>
          <w:szCs w:val="28"/>
        </w:rPr>
        <w:t xml:space="preserve"> dentro del contexto de</w:t>
      </w:r>
      <w:r w:rsidRPr="00862128">
        <w:rPr>
          <w:color w:val="auto"/>
          <w:sz w:val="28"/>
          <w:szCs w:val="28"/>
        </w:rPr>
        <w:t>l</w:t>
      </w:r>
      <w:r w:rsidRPr="00862128">
        <w:rPr>
          <w:color w:val="auto"/>
          <w:sz w:val="28"/>
          <w:szCs w:val="28"/>
        </w:rPr>
        <w:t xml:space="preserve"> otorgamiento y ejecución de </w:t>
      </w:r>
      <w:r w:rsidRPr="00862128">
        <w:rPr>
          <w:color w:val="auto"/>
          <w:sz w:val="28"/>
          <w:szCs w:val="28"/>
        </w:rPr>
        <w:t xml:space="preserve">las operaciones de crédito </w:t>
      </w:r>
      <w:r w:rsidRPr="00862128">
        <w:rPr>
          <w:color w:val="auto"/>
          <w:sz w:val="28"/>
          <w:szCs w:val="28"/>
        </w:rPr>
        <w:t xml:space="preserve">con intereses </w:t>
      </w:r>
      <w:r w:rsidRPr="00862128">
        <w:rPr>
          <w:color w:val="auto"/>
          <w:sz w:val="28"/>
          <w:szCs w:val="28"/>
        </w:rPr>
        <w:t xml:space="preserve">que se realicen mediante sistemas de financiación desarrollados a través de medios electrónicos. Por eso, es importante </w:t>
      </w:r>
      <w:r w:rsidRPr="00862128">
        <w:rPr>
          <w:color w:val="auto"/>
          <w:sz w:val="28"/>
          <w:szCs w:val="28"/>
        </w:rPr>
        <w:t>precisar</w:t>
      </w:r>
      <w:r w:rsidRPr="00862128">
        <w:rPr>
          <w:color w:val="auto"/>
          <w:sz w:val="28"/>
          <w:szCs w:val="28"/>
        </w:rPr>
        <w:t xml:space="preserve"> </w:t>
      </w:r>
      <w:r w:rsidRPr="00862128">
        <w:rPr>
          <w:color w:val="auto"/>
          <w:sz w:val="28"/>
          <w:szCs w:val="28"/>
        </w:rPr>
        <w:t xml:space="preserve">lo siguiente: (i) </w:t>
      </w:r>
      <w:r w:rsidRPr="00862128">
        <w:rPr>
          <w:color w:val="auto"/>
          <w:sz w:val="28"/>
          <w:szCs w:val="28"/>
        </w:rPr>
        <w:t>el concepto de firma</w:t>
      </w:r>
      <w:r w:rsidRPr="00862128">
        <w:rPr>
          <w:color w:val="auto"/>
          <w:sz w:val="28"/>
          <w:szCs w:val="28"/>
        </w:rPr>
        <w:t xml:space="preserve"> y sus usos; y (ii) </w:t>
      </w:r>
      <w:r w:rsidRPr="00862128">
        <w:rPr>
          <w:color w:val="auto"/>
          <w:sz w:val="28"/>
          <w:szCs w:val="28"/>
        </w:rPr>
        <w:t>l</w:t>
      </w:r>
      <w:r w:rsidRPr="00862128">
        <w:rPr>
          <w:color w:val="auto"/>
          <w:sz w:val="28"/>
          <w:szCs w:val="28"/>
        </w:rPr>
        <w:t>a obligatoriedad o no del u</w:t>
      </w:r>
      <w:r w:rsidRPr="00862128">
        <w:rPr>
          <w:color w:val="auto"/>
          <w:sz w:val="28"/>
          <w:szCs w:val="28"/>
        </w:rPr>
        <w:t xml:space="preserve">so de la firma </w:t>
      </w:r>
      <w:r w:rsidRPr="00862128">
        <w:rPr>
          <w:color w:val="auto"/>
          <w:sz w:val="28"/>
          <w:szCs w:val="28"/>
        </w:rPr>
        <w:t>para perfeccionar el contrato de mutuo a interés</w:t>
      </w:r>
      <w:r w:rsidRPr="00862128">
        <w:rPr>
          <w:color w:val="auto"/>
          <w:sz w:val="28"/>
          <w:szCs w:val="28"/>
        </w:rPr>
        <w:t xml:space="preserve"> o, en otras palabras, establecer si la misma es un requisito para que el contrato exista</w:t>
      </w:r>
      <w:r w:rsidRPr="00862128">
        <w:rPr>
          <w:color w:val="auto"/>
          <w:sz w:val="28"/>
          <w:szCs w:val="28"/>
        </w:rPr>
        <w:t xml:space="preserve">. </w:t>
      </w:r>
    </w:p>
    <w:p w:rsidR="00454DDD" w:rsidRPr="00862128" w:rsidRDefault="00862128" w:rsidP="00454DDD">
      <w:pPr>
        <w:pStyle w:val="texto"/>
        <w:tabs>
          <w:tab w:val="left" w:pos="284"/>
        </w:tabs>
        <w:spacing w:before="0" w:line="240" w:lineRule="auto"/>
        <w:ind w:firstLine="0"/>
        <w:rPr>
          <w:color w:val="auto"/>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 xml:space="preserve">De conformidad con el artículo 826 del Código de Comercio, la firma es “la expresión del nombre del </w:t>
      </w:r>
      <w:r w:rsidRPr="00862128">
        <w:rPr>
          <w:color w:val="auto"/>
          <w:sz w:val="28"/>
          <w:szCs w:val="28"/>
        </w:rPr>
        <w:t>suscriptor o de alguno de los elementos que la integren o de un signo o símbolo empleado como medio de identificación personal”</w:t>
      </w:r>
      <w:r w:rsidRPr="00862128">
        <w:rPr>
          <w:rStyle w:val="Refdenotaalpie"/>
          <w:color w:val="auto"/>
          <w:sz w:val="28"/>
          <w:szCs w:val="28"/>
        </w:rPr>
        <w:footnoteReference w:id="44"/>
      </w:r>
      <w:r w:rsidRPr="00862128">
        <w:rPr>
          <w:color w:val="auto"/>
          <w:sz w:val="28"/>
          <w:szCs w:val="28"/>
        </w:rPr>
        <w:t xml:space="preserve">. Como se observa, de la definición legal es claro su uso como un mecanismo de identificación de una persona. Dicho artículo </w:t>
      </w:r>
      <w:r w:rsidRPr="00862128">
        <w:rPr>
          <w:color w:val="auto"/>
          <w:sz w:val="28"/>
          <w:szCs w:val="28"/>
        </w:rPr>
        <w:t>también establece cu</w:t>
      </w:r>
      <w:r w:rsidRPr="00862128">
        <w:rPr>
          <w:color w:val="auto"/>
          <w:sz w:val="28"/>
          <w:szCs w:val="28"/>
        </w:rPr>
        <w:t>á</w:t>
      </w:r>
      <w:r w:rsidRPr="00862128">
        <w:rPr>
          <w:color w:val="auto"/>
          <w:sz w:val="28"/>
          <w:szCs w:val="28"/>
        </w:rPr>
        <w:t>ndo es necesario utilizar la firma en los siguientes términos: “cuando la ley exija que un acto o contrato conste por escrito bastará el instrumento privado con las firmas autógrafas de los suscriptores”. Según esta disposición, el uso</w:t>
      </w:r>
      <w:r w:rsidRPr="00862128">
        <w:rPr>
          <w:color w:val="auto"/>
          <w:sz w:val="28"/>
          <w:szCs w:val="28"/>
        </w:rPr>
        <w:t xml:space="preserve"> de la firma no es siempre obligatorio sino cuando la ley exija el cumplimiento de una formalidad consistente en que un acto o contrato conste por escrito.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L</w:t>
      </w:r>
      <w:r w:rsidRPr="00862128">
        <w:rPr>
          <w:color w:val="auto"/>
          <w:sz w:val="28"/>
          <w:szCs w:val="28"/>
        </w:rPr>
        <w:t>a firma (i) cumple diferentes funciones, (ii) no siempre es necesaria o de obligatorio uso y (iii</w:t>
      </w:r>
      <w:r w:rsidRPr="00862128">
        <w:rPr>
          <w:color w:val="auto"/>
          <w:sz w:val="28"/>
          <w:szCs w:val="28"/>
        </w:rPr>
        <w:t xml:space="preserve">) no produce los mismos efectos en todos los casos.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i/>
          <w:iCs/>
          <w:color w:val="auto"/>
          <w:sz w:val="28"/>
          <w:szCs w:val="28"/>
        </w:rPr>
        <w:t>Funciones de la firma</w:t>
      </w:r>
      <w:r w:rsidRPr="00862128">
        <w:rPr>
          <w:i/>
          <w:iCs/>
          <w:color w:val="auto"/>
          <w:sz w:val="28"/>
          <w:szCs w:val="28"/>
        </w:rPr>
        <w:t>.</w:t>
      </w:r>
      <w:r w:rsidRPr="00862128">
        <w:rPr>
          <w:color w:val="auto"/>
          <w:sz w:val="28"/>
          <w:szCs w:val="28"/>
        </w:rPr>
        <w:t xml:space="preserve"> Según la ley y las prácticas mercantiles, la firma, según el caso, cumple varias funciones, a saber: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En primer lugar, se utiliza como un mecanismo de identificación tal y como l</w:t>
      </w:r>
      <w:r w:rsidRPr="00862128">
        <w:rPr>
          <w:color w:val="auto"/>
          <w:sz w:val="28"/>
          <w:szCs w:val="28"/>
        </w:rPr>
        <w:t>o señala el artículo 826 del Código de Comercio. Ese es el caso cuando, por ejemplo, una persona se identifica ante la página web de un banco para poder ingresar a los servicios de banca electrónica o cuando el usuario de un teléfono móvil utiliza un</w:t>
      </w:r>
      <w:r w:rsidRPr="00862128">
        <w:rPr>
          <w:color w:val="auto"/>
          <w:sz w:val="28"/>
          <w:szCs w:val="28"/>
        </w:rPr>
        <w:t>a</w:t>
      </w:r>
      <w:r w:rsidRPr="00862128">
        <w:rPr>
          <w:color w:val="auto"/>
          <w:sz w:val="28"/>
          <w:szCs w:val="28"/>
        </w:rPr>
        <w:t xml:space="preserve"> clav</w:t>
      </w:r>
      <w:r w:rsidRPr="00862128">
        <w:rPr>
          <w:color w:val="auto"/>
          <w:sz w:val="28"/>
          <w:szCs w:val="28"/>
        </w:rPr>
        <w:t xml:space="preserve">e, un número, su huella dactilar o la imagen de su rostro para establecer su identidad y poder acceder a los servicios del teléfono y las aplicaciones instaladas en el mismo.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 xml:space="preserve">En segundo lugar, la firma se </w:t>
      </w:r>
      <w:r w:rsidRPr="00862128">
        <w:rPr>
          <w:color w:val="auto"/>
          <w:sz w:val="28"/>
          <w:szCs w:val="28"/>
        </w:rPr>
        <w:t>emplea</w:t>
      </w:r>
      <w:r w:rsidRPr="00862128">
        <w:rPr>
          <w:color w:val="auto"/>
          <w:sz w:val="28"/>
          <w:szCs w:val="28"/>
        </w:rPr>
        <w:t xml:space="preserve"> para manifestar la voluntad del firmante d</w:t>
      </w:r>
      <w:r w:rsidRPr="00862128">
        <w:rPr>
          <w:color w:val="auto"/>
          <w:sz w:val="28"/>
          <w:szCs w:val="28"/>
        </w:rPr>
        <w:t>e obligarse o de cumplir una promesa. Con la firma de un pagaré, por ejemplo, el firmante promete y se obliga a pagar una suma determinada de dinero</w:t>
      </w:r>
      <w:r w:rsidRPr="00862128">
        <w:rPr>
          <w:rStyle w:val="Refdenotaalpie"/>
          <w:color w:val="auto"/>
          <w:sz w:val="28"/>
          <w:szCs w:val="28"/>
        </w:rPr>
        <w:footnoteReference w:id="45"/>
      </w:r>
      <w:r w:rsidRPr="00862128">
        <w:rPr>
          <w:color w:val="auto"/>
          <w:sz w:val="28"/>
          <w:szCs w:val="28"/>
        </w:rPr>
        <w:t>. Aunque cotidianamente se firman muchos documentos, actos o contratos ello no significa que sea imperativo</w:t>
      </w:r>
      <w:r w:rsidRPr="00862128">
        <w:rPr>
          <w:color w:val="auto"/>
          <w:sz w:val="28"/>
          <w:szCs w:val="28"/>
        </w:rPr>
        <w:t xml:space="preserve"> por mandato legal</w:t>
      </w:r>
      <w:r w:rsidRPr="00862128">
        <w:rPr>
          <w:color w:val="auto"/>
          <w:sz w:val="28"/>
          <w:szCs w:val="28"/>
        </w:rPr>
        <w:t>,</w:t>
      </w:r>
      <w:r w:rsidRPr="00862128">
        <w:rPr>
          <w:color w:val="auto"/>
          <w:sz w:val="28"/>
          <w:szCs w:val="28"/>
        </w:rPr>
        <w:t xml:space="preserve"> sino que son prácticas mercantiles. De hecho, en el mundo de los negocio</w:t>
      </w:r>
      <w:r w:rsidRPr="00862128">
        <w:rPr>
          <w:color w:val="auto"/>
          <w:sz w:val="28"/>
          <w:szCs w:val="28"/>
        </w:rPr>
        <w:t>s</w:t>
      </w:r>
      <w:r w:rsidRPr="00862128">
        <w:rPr>
          <w:color w:val="auto"/>
          <w:sz w:val="28"/>
          <w:szCs w:val="28"/>
        </w:rPr>
        <w:t xml:space="preserve"> mercantiles los contratos son</w:t>
      </w:r>
      <w:r w:rsidRPr="00862128">
        <w:rPr>
          <w:color w:val="auto"/>
          <w:sz w:val="28"/>
          <w:szCs w:val="28"/>
        </w:rPr>
        <w:t>, por regla general,</w:t>
      </w:r>
      <w:r w:rsidRPr="00862128">
        <w:rPr>
          <w:color w:val="auto"/>
          <w:sz w:val="28"/>
          <w:szCs w:val="28"/>
        </w:rPr>
        <w:t xml:space="preserve"> consensuales, razón por la cual no es necesaria la firma para perfeccionarlos jurídicamente.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i/>
          <w:iCs/>
          <w:color w:val="auto"/>
          <w:sz w:val="28"/>
          <w:szCs w:val="28"/>
        </w:rPr>
        <w:t>La firma no siemp</w:t>
      </w:r>
      <w:r w:rsidRPr="00862128">
        <w:rPr>
          <w:i/>
          <w:iCs/>
          <w:color w:val="auto"/>
          <w:sz w:val="28"/>
          <w:szCs w:val="28"/>
        </w:rPr>
        <w:t>re es necesaria por mandato legal</w:t>
      </w:r>
      <w:r w:rsidRPr="00862128">
        <w:rPr>
          <w:color w:val="auto"/>
          <w:sz w:val="28"/>
          <w:szCs w:val="28"/>
        </w:rPr>
        <w:t>. Aunque la firma se usa en diversas actividades, es relevante tener presente que en algunos casos no es legalmente imperativa su presencia. En materia de contratación, por ejemplo, muchos contratos no requieren la firma. E</w:t>
      </w:r>
      <w:r w:rsidRPr="00862128">
        <w:rPr>
          <w:color w:val="auto"/>
          <w:sz w:val="28"/>
          <w:szCs w:val="28"/>
        </w:rPr>
        <w:t>se es el caso de los contratos consensuales que se perfeccionan con el consentimiento</w:t>
      </w:r>
      <w:r w:rsidRPr="00862128">
        <w:rPr>
          <w:rStyle w:val="Refdenotaalpie"/>
          <w:sz w:val="28"/>
          <w:lang w:val="es-ES_tradnl"/>
        </w:rPr>
        <w:footnoteReference w:id="46"/>
      </w:r>
      <w:r w:rsidRPr="00862128">
        <w:rPr>
          <w:color w:val="auto"/>
          <w:sz w:val="28"/>
          <w:szCs w:val="28"/>
        </w:rPr>
        <w:t xml:space="preserve"> o de los contratos reales</w:t>
      </w:r>
      <w:r w:rsidRPr="00862128">
        <w:rPr>
          <w:rStyle w:val="Refdenotaalpie"/>
          <w:sz w:val="28"/>
          <w:lang w:val="es-ES_tradnl"/>
        </w:rPr>
        <w:footnoteReference w:id="47"/>
      </w:r>
      <w:r w:rsidRPr="00862128">
        <w:rPr>
          <w:sz w:val="28"/>
          <w:lang w:val="es-ES_tradnl"/>
        </w:rPr>
        <w:t xml:space="preserve"> </w:t>
      </w:r>
      <w:r w:rsidRPr="00862128">
        <w:rPr>
          <w:color w:val="auto"/>
          <w:sz w:val="28"/>
          <w:szCs w:val="28"/>
        </w:rPr>
        <w:t xml:space="preserve">que se perfeccionan con la tradición </w:t>
      </w:r>
      <w:r w:rsidRPr="00862128">
        <w:rPr>
          <w:color w:val="auto"/>
          <w:sz w:val="28"/>
          <w:szCs w:val="28"/>
        </w:rPr>
        <w:t xml:space="preserve">del </w:t>
      </w:r>
      <w:r w:rsidRPr="00862128">
        <w:rPr>
          <w:color w:val="auto"/>
          <w:sz w:val="28"/>
          <w:szCs w:val="28"/>
        </w:rPr>
        <w:t xml:space="preserve">objeto del contrato. En estos </w:t>
      </w:r>
      <w:r w:rsidRPr="00862128">
        <w:rPr>
          <w:color w:val="auto"/>
          <w:sz w:val="28"/>
          <w:szCs w:val="28"/>
        </w:rPr>
        <w:t>contratos</w:t>
      </w:r>
      <w:r w:rsidRPr="00862128">
        <w:rPr>
          <w:color w:val="auto"/>
          <w:sz w:val="28"/>
          <w:szCs w:val="28"/>
        </w:rPr>
        <w:t>, la regulación no exige que consten por escrito</w:t>
      </w:r>
      <w:r w:rsidRPr="00862128">
        <w:rPr>
          <w:color w:val="auto"/>
          <w:sz w:val="28"/>
          <w:szCs w:val="28"/>
        </w:rPr>
        <w:t xml:space="preserve">, que estén </w:t>
      </w:r>
      <w:r w:rsidRPr="00862128">
        <w:rPr>
          <w:color w:val="auto"/>
          <w:sz w:val="28"/>
          <w:szCs w:val="28"/>
        </w:rPr>
        <w:t>firmados</w:t>
      </w:r>
      <w:r w:rsidRPr="00862128">
        <w:rPr>
          <w:color w:val="auto"/>
          <w:sz w:val="28"/>
          <w:szCs w:val="28"/>
        </w:rPr>
        <w:t xml:space="preserve"> o que cumpla</w:t>
      </w:r>
      <w:r w:rsidRPr="00862128">
        <w:rPr>
          <w:color w:val="auto"/>
          <w:sz w:val="28"/>
          <w:szCs w:val="28"/>
        </w:rPr>
        <w:t>n</w:t>
      </w:r>
      <w:r w:rsidRPr="00862128">
        <w:rPr>
          <w:color w:val="auto"/>
          <w:sz w:val="28"/>
          <w:szCs w:val="28"/>
        </w:rPr>
        <w:t xml:space="preserve"> otra determinada solemnidad.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sz w:val="28"/>
          <w:szCs w:val="28"/>
          <w:lang w:val="es-ES_tradnl"/>
        </w:rPr>
        <w:t>E</w:t>
      </w:r>
      <w:r w:rsidRPr="00862128">
        <w:rPr>
          <w:sz w:val="28"/>
          <w:szCs w:val="28"/>
          <w:lang w:val="es-ES_tradnl"/>
        </w:rPr>
        <w:t xml:space="preserve">l </w:t>
      </w:r>
      <w:r w:rsidRPr="00862128">
        <w:rPr>
          <w:sz w:val="28"/>
          <w:szCs w:val="28"/>
          <w:lang w:val="es-ES_tradnl"/>
        </w:rPr>
        <w:t>mutuo o préstamo de consumo e</w:t>
      </w:r>
      <w:r w:rsidRPr="00862128">
        <w:rPr>
          <w:sz w:val="28"/>
          <w:szCs w:val="28"/>
          <w:lang w:val="es-ES_tradnl"/>
        </w:rPr>
        <w:t xml:space="preserve">s un contrato real que </w:t>
      </w:r>
      <w:r w:rsidRPr="00862128">
        <w:rPr>
          <w:sz w:val="28"/>
          <w:szCs w:val="28"/>
          <w:lang w:val="es-ES_tradnl"/>
        </w:rPr>
        <w:t>se perfecciona con la tradición</w:t>
      </w:r>
      <w:r w:rsidRPr="00862128">
        <w:rPr>
          <w:rStyle w:val="Refdenotaalpie"/>
          <w:sz w:val="28"/>
          <w:lang w:val="es-ES_tradnl"/>
        </w:rPr>
        <w:footnoteReference w:id="48"/>
      </w:r>
      <w:r w:rsidRPr="00862128">
        <w:rPr>
          <w:sz w:val="28"/>
          <w:szCs w:val="28"/>
          <w:lang w:val="es-ES_tradnl"/>
        </w:rPr>
        <w:t xml:space="preserve">. </w:t>
      </w:r>
      <w:r w:rsidRPr="00862128">
        <w:rPr>
          <w:sz w:val="28"/>
          <w:szCs w:val="28"/>
          <w:lang w:val="es-ES_tradnl"/>
        </w:rPr>
        <w:t>Para su perfeccionamiento sólo se requiere que el mutuante entregue el dinero al mutuario</w:t>
      </w:r>
      <w:r w:rsidRPr="00862128">
        <w:rPr>
          <w:rStyle w:val="Refdenotaalpie"/>
          <w:sz w:val="28"/>
          <w:szCs w:val="28"/>
          <w:lang w:val="es-ES_tradnl"/>
        </w:rPr>
        <w:footnoteReference w:id="49"/>
      </w:r>
      <w:r w:rsidRPr="00862128">
        <w:rPr>
          <w:sz w:val="28"/>
          <w:szCs w:val="28"/>
          <w:lang w:val="es-ES_tradnl"/>
        </w:rPr>
        <w:t>. L</w:t>
      </w:r>
      <w:r w:rsidRPr="00862128">
        <w:rPr>
          <w:sz w:val="28"/>
          <w:szCs w:val="28"/>
          <w:lang w:val="es-ES_tradnl"/>
        </w:rPr>
        <w:t>a ley no exige la pr</w:t>
      </w:r>
      <w:r w:rsidRPr="00862128">
        <w:rPr>
          <w:sz w:val="28"/>
          <w:szCs w:val="28"/>
          <w:lang w:val="es-ES_tradnl"/>
        </w:rPr>
        <w:t xml:space="preserve">esencia de una firma para que el mutuo genere efectos jurídicos. </w:t>
      </w:r>
    </w:p>
    <w:p w:rsidR="00454DDD" w:rsidRPr="00862128" w:rsidRDefault="00862128" w:rsidP="00454DDD">
      <w:pPr>
        <w:pStyle w:val="Prrafodelista"/>
        <w:rPr>
          <w:rFonts w:ascii="Times New Roman" w:hAnsi="Times New Roman"/>
          <w:sz w:val="28"/>
          <w:lang w:val="es-ES_tradnl"/>
        </w:rPr>
      </w:pPr>
    </w:p>
    <w:p w:rsidR="00454DDD" w:rsidRPr="00862128" w:rsidRDefault="00862128" w:rsidP="00454DDD">
      <w:pPr>
        <w:pStyle w:val="texto"/>
        <w:numPr>
          <w:ilvl w:val="0"/>
          <w:numId w:val="4"/>
        </w:numPr>
        <w:tabs>
          <w:tab w:val="left" w:pos="284"/>
        </w:tabs>
        <w:spacing w:before="0" w:line="240" w:lineRule="auto"/>
        <w:ind w:left="0" w:firstLine="0"/>
        <w:rPr>
          <w:i/>
          <w:iCs/>
          <w:color w:val="auto"/>
          <w:sz w:val="28"/>
          <w:szCs w:val="28"/>
        </w:rPr>
      </w:pPr>
      <w:r w:rsidRPr="00862128">
        <w:rPr>
          <w:i/>
          <w:iCs/>
          <w:sz w:val="28"/>
          <w:szCs w:val="28"/>
          <w:lang w:val="es-ES_tradnl"/>
        </w:rPr>
        <w:t xml:space="preserve">Diferentes roles que cumple la firma cuando es necesaria por exigencia legal.  </w:t>
      </w:r>
      <w:r w:rsidRPr="00862128">
        <w:rPr>
          <w:sz w:val="28"/>
          <w:szCs w:val="28"/>
          <w:lang w:val="es-ES_tradnl"/>
        </w:rPr>
        <w:t xml:space="preserve">Existen varios casos en los cuales la ley y los códigos exigen la firma como un requisito necesario para la </w:t>
      </w:r>
      <w:r w:rsidRPr="00862128">
        <w:rPr>
          <w:sz w:val="28"/>
          <w:szCs w:val="28"/>
          <w:lang w:val="es-ES_tradnl"/>
        </w:rPr>
        <w:t>existencia de ciertos actos o documentos.</w:t>
      </w:r>
    </w:p>
    <w:p w:rsidR="00454DDD" w:rsidRPr="00862128" w:rsidRDefault="00862128" w:rsidP="00454DDD">
      <w:pPr>
        <w:pStyle w:val="Prrafodelista"/>
        <w:rPr>
          <w:rFonts w:ascii="Times New Roman" w:hAnsi="Times New Roman"/>
          <w:sz w:val="28"/>
          <w:szCs w:val="28"/>
          <w:lang w:val="es-ES_tradnl"/>
        </w:rPr>
      </w:pPr>
    </w:p>
    <w:p w:rsidR="00454DDD" w:rsidRPr="00862128" w:rsidRDefault="00862128" w:rsidP="00454DDD">
      <w:pPr>
        <w:pStyle w:val="texto"/>
        <w:numPr>
          <w:ilvl w:val="0"/>
          <w:numId w:val="4"/>
        </w:numPr>
        <w:tabs>
          <w:tab w:val="left" w:pos="284"/>
        </w:tabs>
        <w:spacing w:before="0" w:line="240" w:lineRule="auto"/>
        <w:ind w:left="0" w:firstLine="0"/>
        <w:rPr>
          <w:i/>
          <w:iCs/>
          <w:color w:val="auto"/>
          <w:sz w:val="28"/>
          <w:szCs w:val="28"/>
        </w:rPr>
      </w:pPr>
      <w:r w:rsidRPr="00862128">
        <w:rPr>
          <w:i/>
          <w:iCs/>
          <w:sz w:val="28"/>
          <w:szCs w:val="28"/>
          <w:lang w:val="es-ES_tradnl"/>
        </w:rPr>
        <w:t>La firma como requisito de algunos documentos</w:t>
      </w:r>
      <w:r w:rsidRPr="00862128">
        <w:rPr>
          <w:sz w:val="28"/>
          <w:szCs w:val="28"/>
          <w:lang w:val="es-ES_tradnl"/>
        </w:rPr>
        <w:t>.</w:t>
      </w:r>
      <w:r w:rsidRPr="00862128">
        <w:rPr>
          <w:sz w:val="28"/>
          <w:szCs w:val="28"/>
          <w:lang w:val="es-ES_tradnl"/>
        </w:rPr>
        <w:t xml:space="preserve"> Estos son ejemplos en los cuales expresamente la ley exige la presencia de una firma:</w:t>
      </w:r>
    </w:p>
    <w:p w:rsidR="00454DDD" w:rsidRPr="00862128" w:rsidRDefault="00862128" w:rsidP="00454DDD">
      <w:pPr>
        <w:pStyle w:val="texto"/>
        <w:tabs>
          <w:tab w:val="left" w:pos="284"/>
        </w:tabs>
        <w:spacing w:before="0" w:line="240" w:lineRule="auto"/>
        <w:ind w:firstLine="0"/>
        <w:rPr>
          <w:i/>
          <w:iCs/>
          <w:color w:val="auto"/>
          <w:sz w:val="28"/>
          <w:szCs w:val="28"/>
        </w:rPr>
      </w:pP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rPr>
        <w:t xml:space="preserve">Las actas de juntas de socios o de asamblea de accionistas deben ir firmadas </w:t>
      </w:r>
      <w:r w:rsidRPr="00862128">
        <w:rPr>
          <w:rFonts w:ascii="Times New Roman" w:hAnsi="Times New Roman"/>
          <w:sz w:val="28"/>
          <w:szCs w:val="28"/>
        </w:rPr>
        <w:t>por el presidente y secretario de la respectiva reunión (Artículos 189,195 y 431 del Código de Comercio).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rPr>
        <w:t>El balance certificado debe ir firmado por el r</w:t>
      </w:r>
      <w:r w:rsidRPr="00862128">
        <w:rPr>
          <w:rFonts w:ascii="Times New Roman" w:hAnsi="Times New Roman"/>
          <w:sz w:val="28"/>
          <w:szCs w:val="28"/>
          <w:lang w:val="es-ES_tradnl"/>
        </w:rPr>
        <w:t>epresentante legal, el contador de la sociedad y el revisor fiscal, si lo hubiere (Artículo 290 del Cód</w:t>
      </w:r>
      <w:r w:rsidRPr="00862128">
        <w:rPr>
          <w:rFonts w:ascii="Times New Roman" w:hAnsi="Times New Roman"/>
          <w:sz w:val="28"/>
          <w:szCs w:val="28"/>
          <w:lang w:val="es-ES_tradnl"/>
        </w:rPr>
        <w:t>igo de Comercio).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lang w:val="es-ES_tradnl"/>
        </w:rPr>
        <w:t>Las acciones de una sociedad deben ir firmadas por el representante legal y el secretario de esta (Artículo 401 del Código de Comercio).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lang w:val="es-ES_tradnl"/>
        </w:rPr>
        <w:t>Los títulos valores deben ir firmados por el creador del documento (Artículo 621 del Código de Comerc</w:t>
      </w:r>
      <w:r w:rsidRPr="00862128">
        <w:rPr>
          <w:rFonts w:ascii="Times New Roman" w:hAnsi="Times New Roman"/>
          <w:sz w:val="28"/>
          <w:szCs w:val="28"/>
          <w:lang w:val="es-ES_tradnl"/>
        </w:rPr>
        <w:t>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rPr>
        <w:t>El aval debe llevar la firma del avalista (Artículo 634 del Código de Comercio).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rPr>
        <w:t>El endoso debe tener la “firma del endosante” (Artículo 654 del Código de Comercio).</w:t>
      </w:r>
    </w:p>
    <w:p w:rsidR="00454DDD" w:rsidRPr="00862128" w:rsidRDefault="00862128" w:rsidP="00454DDD">
      <w:pPr>
        <w:pStyle w:val="Prrafodelista"/>
        <w:numPr>
          <w:ilvl w:val="0"/>
          <w:numId w:val="5"/>
        </w:numPr>
        <w:jc w:val="both"/>
        <w:rPr>
          <w:rFonts w:ascii="Times New Roman" w:hAnsi="Times New Roman"/>
          <w:sz w:val="28"/>
          <w:szCs w:val="28"/>
        </w:rPr>
      </w:pPr>
      <w:r w:rsidRPr="00862128">
        <w:rPr>
          <w:rFonts w:ascii="Times New Roman" w:hAnsi="Times New Roman"/>
          <w:sz w:val="28"/>
          <w:szCs w:val="28"/>
        </w:rPr>
        <w:t>El bono de prenda debe tener las firmas del tenedor del certificado de depósito y del</w:t>
      </w:r>
      <w:r w:rsidRPr="00862128">
        <w:rPr>
          <w:rFonts w:ascii="Times New Roman" w:hAnsi="Times New Roman"/>
          <w:sz w:val="28"/>
          <w:szCs w:val="28"/>
        </w:rPr>
        <w:t xml:space="preserve"> secretario del almacén general de depósito (Numeral 4 del artículo 760 del Código de Comercio).</w:t>
      </w:r>
    </w:p>
    <w:p w:rsidR="00454DDD" w:rsidRPr="00862128" w:rsidRDefault="00862128" w:rsidP="00454DDD">
      <w:pPr>
        <w:rPr>
          <w:rFonts w:ascii="Times New Roman" w:hAnsi="Times New Roman"/>
          <w:sz w:val="28"/>
          <w:szCs w:val="28"/>
        </w:rPr>
      </w:pPr>
    </w:p>
    <w:p w:rsidR="00454DDD" w:rsidRPr="00862128" w:rsidRDefault="00862128" w:rsidP="00454DDD">
      <w:pPr>
        <w:pStyle w:val="Prrafodelista"/>
        <w:numPr>
          <w:ilvl w:val="0"/>
          <w:numId w:val="4"/>
        </w:numPr>
        <w:ind w:left="0" w:firstLine="0"/>
        <w:jc w:val="both"/>
        <w:rPr>
          <w:rFonts w:ascii="Times New Roman" w:hAnsi="Times New Roman"/>
          <w:sz w:val="28"/>
          <w:szCs w:val="28"/>
        </w:rPr>
      </w:pPr>
      <w:r w:rsidRPr="00862128">
        <w:rPr>
          <w:rFonts w:ascii="Times New Roman" w:hAnsi="Times New Roman"/>
          <w:i/>
          <w:iCs/>
          <w:sz w:val="28"/>
          <w:szCs w:val="28"/>
        </w:rPr>
        <w:t>La firma como fuente de obligaciones</w:t>
      </w:r>
      <w:r w:rsidRPr="00862128">
        <w:rPr>
          <w:rFonts w:ascii="Times New Roman" w:hAnsi="Times New Roman"/>
          <w:sz w:val="28"/>
          <w:szCs w:val="28"/>
        </w:rPr>
        <w:t>.</w:t>
      </w:r>
      <w:r w:rsidRPr="00862128">
        <w:rPr>
          <w:rFonts w:ascii="Times New Roman" w:hAnsi="Times New Roman"/>
          <w:sz w:val="28"/>
          <w:szCs w:val="28"/>
        </w:rPr>
        <w:t xml:space="preserve"> En el caso de los títulos valores, por ejemplo, la obligación cambiaria deriva su eficacia de la firma del creador del t</w:t>
      </w:r>
      <w:r w:rsidRPr="00862128">
        <w:rPr>
          <w:rFonts w:ascii="Times New Roman" w:hAnsi="Times New Roman"/>
          <w:sz w:val="28"/>
          <w:szCs w:val="28"/>
        </w:rPr>
        <w:t>ítulo y de su entrega con el propósito de hacerlos negociable</w:t>
      </w:r>
      <w:r w:rsidRPr="00862128">
        <w:rPr>
          <w:rFonts w:ascii="Times New Roman" w:hAnsi="Times New Roman"/>
          <w:sz w:val="28"/>
          <w:szCs w:val="28"/>
        </w:rPr>
        <w:t>s</w:t>
      </w:r>
      <w:r w:rsidRPr="00862128">
        <w:rPr>
          <w:rFonts w:ascii="Times New Roman" w:hAnsi="Times New Roman"/>
          <w:sz w:val="28"/>
          <w:szCs w:val="28"/>
        </w:rPr>
        <w:t xml:space="preserve"> (Artículo 625 del Código de Comercio). </w:t>
      </w:r>
    </w:p>
    <w:p w:rsidR="00454DDD" w:rsidRPr="00862128" w:rsidRDefault="00862128" w:rsidP="00454DDD">
      <w:pPr>
        <w:rPr>
          <w:rFonts w:ascii="Times New Roman" w:hAnsi="Times New Roman"/>
          <w:sz w:val="28"/>
          <w:szCs w:val="28"/>
        </w:rPr>
      </w:pPr>
    </w:p>
    <w:p w:rsidR="00454DDD" w:rsidRPr="00862128" w:rsidRDefault="00862128" w:rsidP="00454DDD">
      <w:pPr>
        <w:pStyle w:val="Prrafodelista"/>
        <w:numPr>
          <w:ilvl w:val="0"/>
          <w:numId w:val="4"/>
        </w:numPr>
        <w:ind w:left="0" w:firstLine="0"/>
        <w:jc w:val="both"/>
        <w:rPr>
          <w:rFonts w:ascii="Times New Roman" w:hAnsi="Times New Roman"/>
          <w:sz w:val="28"/>
          <w:szCs w:val="28"/>
        </w:rPr>
      </w:pPr>
      <w:r w:rsidRPr="00862128">
        <w:rPr>
          <w:rFonts w:ascii="Times New Roman" w:hAnsi="Times New Roman"/>
          <w:i/>
          <w:iCs/>
          <w:sz w:val="28"/>
          <w:szCs w:val="28"/>
        </w:rPr>
        <w:t>La firma como requisito para la existencia de un acto jurídico</w:t>
      </w:r>
      <w:r w:rsidRPr="00862128">
        <w:rPr>
          <w:rFonts w:ascii="Times New Roman" w:hAnsi="Times New Roman"/>
          <w:sz w:val="28"/>
          <w:szCs w:val="28"/>
        </w:rPr>
        <w:t>.</w:t>
      </w:r>
      <w:r w:rsidRPr="00862128">
        <w:rPr>
          <w:rFonts w:ascii="Times New Roman" w:hAnsi="Times New Roman"/>
          <w:sz w:val="28"/>
          <w:szCs w:val="28"/>
        </w:rPr>
        <w:t xml:space="preserve"> El endoso de títulos valores debe tener la firma del endosante. Sin este requisito, el e</w:t>
      </w:r>
      <w:r w:rsidRPr="00862128">
        <w:rPr>
          <w:rFonts w:ascii="Times New Roman" w:hAnsi="Times New Roman"/>
          <w:sz w:val="28"/>
          <w:szCs w:val="28"/>
        </w:rPr>
        <w:t xml:space="preserve">ndoso será “inexistente” (Artículo 654 del Código de Comercio). Sucede lo mismo con la aceptación de una letra de cambio, la cual debe tener la “firma del girado” (Artículo 685 del Código de Comercio). </w:t>
      </w:r>
    </w:p>
    <w:p w:rsidR="00454DDD" w:rsidRPr="00862128" w:rsidRDefault="00862128" w:rsidP="00454DDD">
      <w:pPr>
        <w:pStyle w:val="Prrafodelista"/>
        <w:ind w:left="0"/>
        <w:rPr>
          <w:rFonts w:ascii="Times New Roman" w:hAnsi="Times New Roman"/>
          <w:sz w:val="28"/>
          <w:szCs w:val="28"/>
        </w:rPr>
      </w:pPr>
    </w:p>
    <w:p w:rsidR="00454DDD" w:rsidRPr="00862128" w:rsidRDefault="00862128" w:rsidP="00454DDD">
      <w:pPr>
        <w:pStyle w:val="Prrafodelista"/>
        <w:numPr>
          <w:ilvl w:val="0"/>
          <w:numId w:val="4"/>
        </w:numPr>
        <w:ind w:left="0" w:firstLine="0"/>
        <w:jc w:val="both"/>
        <w:rPr>
          <w:rFonts w:ascii="Times New Roman" w:hAnsi="Times New Roman"/>
          <w:sz w:val="28"/>
          <w:szCs w:val="28"/>
        </w:rPr>
      </w:pPr>
      <w:r w:rsidRPr="00862128">
        <w:rPr>
          <w:rFonts w:ascii="Times New Roman" w:hAnsi="Times New Roman"/>
          <w:i/>
          <w:iCs/>
          <w:sz w:val="28"/>
          <w:szCs w:val="28"/>
        </w:rPr>
        <w:t>La firma como prueba</w:t>
      </w:r>
      <w:r w:rsidRPr="00862128">
        <w:rPr>
          <w:rFonts w:ascii="Times New Roman" w:hAnsi="Times New Roman"/>
          <w:sz w:val="28"/>
          <w:szCs w:val="28"/>
        </w:rPr>
        <w:t>. En otros casos, la firma junto</w:t>
      </w:r>
      <w:r w:rsidRPr="00862128">
        <w:rPr>
          <w:rFonts w:ascii="Times New Roman" w:hAnsi="Times New Roman"/>
          <w:sz w:val="28"/>
          <w:szCs w:val="28"/>
        </w:rPr>
        <w:t xml:space="preserve"> con otros requisitos sirve como medio probatorio. Por ejemplo, e</w:t>
      </w:r>
      <w:r w:rsidRPr="00862128">
        <w:rPr>
          <w:rFonts w:ascii="Times New Roman" w:hAnsi="Times New Roman"/>
          <w:sz w:val="28"/>
          <w:szCs w:val="28"/>
          <w:lang w:val="es-ES_tradnl"/>
        </w:rPr>
        <w:t>l comprobante de haber recibido la chequera entregada por el banco, firmado por el cuentacorrentista, constituye plena prueba de tal hecho (Artículo 1386 del Código de Comercio)</w:t>
      </w:r>
      <w:r w:rsidRPr="00862128">
        <w:rPr>
          <w:rFonts w:ascii="Times New Roman" w:hAnsi="Times New Roman"/>
          <w:sz w:val="28"/>
          <w:szCs w:val="28"/>
          <w:lang w:val="es-ES_tradnl"/>
        </w:rPr>
        <w:t>.</w:t>
      </w:r>
    </w:p>
    <w:p w:rsidR="00454DDD" w:rsidRPr="00862128" w:rsidRDefault="00862128" w:rsidP="00454DDD">
      <w:pPr>
        <w:pStyle w:val="Prrafodelista"/>
        <w:ind w:left="0"/>
        <w:rPr>
          <w:rFonts w:ascii="Times New Roman" w:hAnsi="Times New Roman"/>
          <w:sz w:val="28"/>
          <w:szCs w:val="28"/>
        </w:rPr>
      </w:pPr>
    </w:p>
    <w:p w:rsidR="00454DDD" w:rsidRPr="00862128" w:rsidRDefault="00862128" w:rsidP="00454DDD">
      <w:pPr>
        <w:pStyle w:val="Prrafodelista"/>
        <w:numPr>
          <w:ilvl w:val="0"/>
          <w:numId w:val="4"/>
        </w:numPr>
        <w:ind w:left="0" w:firstLine="0"/>
        <w:jc w:val="both"/>
        <w:rPr>
          <w:rFonts w:ascii="Times New Roman" w:hAnsi="Times New Roman"/>
          <w:sz w:val="28"/>
          <w:szCs w:val="28"/>
        </w:rPr>
      </w:pPr>
      <w:r w:rsidRPr="00862128">
        <w:rPr>
          <w:rFonts w:ascii="Times New Roman" w:hAnsi="Times New Roman"/>
          <w:sz w:val="28"/>
          <w:szCs w:val="28"/>
        </w:rPr>
        <w:t xml:space="preserve">En suma, el uso de la firma no es obligatorio para perfeccionar el contrato de mutuo, ni su uso es mandatario por regla general sino en casos especiales explícitamente señalados por la ley. </w:t>
      </w:r>
    </w:p>
    <w:p w:rsidR="00454DDD" w:rsidRPr="00862128" w:rsidRDefault="00862128" w:rsidP="00454DDD">
      <w:pPr>
        <w:pStyle w:val="Prrafodelista"/>
        <w:ind w:left="0"/>
        <w:rPr>
          <w:rFonts w:ascii="Times New Roman" w:hAnsi="Times New Roman"/>
          <w:sz w:val="28"/>
          <w:szCs w:val="28"/>
        </w:rPr>
      </w:pPr>
    </w:p>
    <w:p w:rsidR="00454DDD" w:rsidRPr="00862128" w:rsidRDefault="00862128" w:rsidP="00E345BD">
      <w:pPr>
        <w:pStyle w:val="Prrafodelista"/>
        <w:numPr>
          <w:ilvl w:val="0"/>
          <w:numId w:val="4"/>
        </w:numPr>
        <w:ind w:left="0" w:firstLine="0"/>
        <w:jc w:val="both"/>
        <w:rPr>
          <w:rFonts w:ascii="Times New Roman" w:hAnsi="Times New Roman"/>
          <w:sz w:val="28"/>
          <w:szCs w:val="28"/>
        </w:rPr>
      </w:pPr>
      <w:r w:rsidRPr="00862128">
        <w:rPr>
          <w:rFonts w:ascii="Times New Roman" w:hAnsi="Times New Roman"/>
          <w:sz w:val="28"/>
          <w:szCs w:val="28"/>
        </w:rPr>
        <w:t>Ahora bien, la acción de inconstitucionalidad se dirige contra l</w:t>
      </w:r>
      <w:r w:rsidRPr="00862128">
        <w:rPr>
          <w:rFonts w:ascii="Times New Roman" w:hAnsi="Times New Roman"/>
          <w:sz w:val="28"/>
          <w:szCs w:val="28"/>
        </w:rPr>
        <w:t xml:space="preserve">a expresión “firma electrónica” </w:t>
      </w:r>
      <w:r w:rsidRPr="00862128">
        <w:rPr>
          <w:rFonts w:ascii="Times New Roman" w:hAnsi="Times New Roman"/>
          <w:sz w:val="28"/>
          <w:szCs w:val="28"/>
        </w:rPr>
        <w:t xml:space="preserve">dentro del contexto de las operaciones de crédito que se realicen mediante sistemas de financiación desarrollados a través de medios electrónicos. </w:t>
      </w:r>
    </w:p>
    <w:p w:rsidR="00454DDD" w:rsidRPr="00862128" w:rsidRDefault="00862128" w:rsidP="00454DDD">
      <w:pPr>
        <w:pStyle w:val="texto"/>
        <w:tabs>
          <w:tab w:val="left" w:pos="284"/>
        </w:tabs>
        <w:spacing w:before="0" w:line="240" w:lineRule="auto"/>
        <w:ind w:firstLine="0"/>
        <w:rPr>
          <w:color w:val="auto"/>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sz w:val="28"/>
          <w:szCs w:val="28"/>
        </w:rPr>
        <w:t>La Ley 527</w:t>
      </w:r>
      <w:r w:rsidRPr="00862128">
        <w:rPr>
          <w:rStyle w:val="Refdenotaalpie"/>
          <w:sz w:val="28"/>
          <w:szCs w:val="28"/>
        </w:rPr>
        <w:footnoteReference w:id="50"/>
      </w:r>
      <w:r w:rsidRPr="00862128">
        <w:rPr>
          <w:sz w:val="28"/>
          <w:szCs w:val="28"/>
        </w:rPr>
        <w:t xml:space="preserve"> de 1999 valida el uso de dichos medios y los mensajes de datos</w:t>
      </w:r>
      <w:r w:rsidRPr="00862128">
        <w:rPr>
          <w:rStyle w:val="Refdenotaalpie"/>
          <w:sz w:val="28"/>
          <w:szCs w:val="28"/>
        </w:rPr>
        <w:footnoteReference w:id="51"/>
      </w:r>
      <w:r w:rsidRPr="00862128">
        <w:rPr>
          <w:sz w:val="28"/>
          <w:szCs w:val="28"/>
        </w:rPr>
        <w:t xml:space="preserve"> en todas las actividades (incluidas las operaciones de crédito). </w:t>
      </w:r>
      <w:r w:rsidRPr="00862128">
        <w:rPr>
          <w:color w:val="auto"/>
          <w:sz w:val="28"/>
          <w:szCs w:val="28"/>
        </w:rPr>
        <w:t xml:space="preserve">Para otorgar validez legal al uso de los medios electrónicos, </w:t>
      </w:r>
      <w:r w:rsidRPr="00862128">
        <w:rPr>
          <w:color w:val="auto"/>
          <w:sz w:val="28"/>
          <w:szCs w:val="28"/>
        </w:rPr>
        <w:t>dicha ley</w:t>
      </w:r>
      <w:r w:rsidRPr="00862128">
        <w:rPr>
          <w:color w:val="auto"/>
          <w:sz w:val="28"/>
          <w:szCs w:val="28"/>
        </w:rPr>
        <w:t xml:space="preserve"> consagra, entre otros, los equivalentes funcionales de escrito, firma y original en el contexto digital.  Con estos se</w:t>
      </w:r>
      <w:r w:rsidRPr="00862128">
        <w:rPr>
          <w:color w:val="auto"/>
          <w:sz w:val="28"/>
          <w:szCs w:val="28"/>
        </w:rPr>
        <w:t xml:space="preserve"> busca que dichas “instituciones” cumplan las mismas funciones que tienen mediante el uso de medios tradicionales.  Es decir que, por ejemplo, se reemplace la firma manuscrita utilizada para firmar un contrato en papel, por una firma electrónica o digital </w:t>
      </w:r>
      <w:r w:rsidRPr="00862128">
        <w:rPr>
          <w:color w:val="auto"/>
          <w:sz w:val="28"/>
          <w:szCs w:val="28"/>
        </w:rPr>
        <w:t>para suscribir un contrato contenido en un mensaje de datos o en un documento electrónico</w:t>
      </w:r>
      <w:r w:rsidRPr="00862128">
        <w:rPr>
          <w:rStyle w:val="Refdenotaalpie"/>
          <w:color w:val="auto"/>
          <w:sz w:val="28"/>
          <w:szCs w:val="28"/>
        </w:rPr>
        <w:footnoteReference w:id="52"/>
      </w:r>
      <w:r w:rsidRPr="00862128">
        <w:rPr>
          <w:color w:val="auto"/>
          <w:sz w:val="28"/>
          <w:szCs w:val="28"/>
        </w:rPr>
        <w:t xml:space="preserve">. </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numPr>
          <w:ilvl w:val="0"/>
          <w:numId w:val="4"/>
        </w:numPr>
        <w:tabs>
          <w:tab w:val="left" w:pos="284"/>
        </w:tabs>
        <w:spacing w:before="0" w:line="240" w:lineRule="auto"/>
        <w:ind w:left="0" w:firstLine="0"/>
        <w:rPr>
          <w:color w:val="auto"/>
          <w:sz w:val="28"/>
          <w:szCs w:val="28"/>
        </w:rPr>
      </w:pPr>
      <w:r w:rsidRPr="00862128">
        <w:rPr>
          <w:color w:val="auto"/>
          <w:sz w:val="28"/>
          <w:szCs w:val="28"/>
        </w:rPr>
        <w:t>Respecto del equivalente funcional de la firma, el artículo 7 de la citada ley dispone lo siguiente:</w:t>
      </w:r>
    </w:p>
    <w:p w:rsidR="00454DDD" w:rsidRPr="00862128" w:rsidRDefault="00862128" w:rsidP="00454DDD">
      <w:pPr>
        <w:pStyle w:val="Prrafodelista"/>
        <w:rPr>
          <w:rFonts w:ascii="Times New Roman" w:hAnsi="Times New Roman"/>
          <w:sz w:val="28"/>
          <w:szCs w:val="28"/>
        </w:rPr>
      </w:pPr>
    </w:p>
    <w:p w:rsidR="00454DDD" w:rsidRPr="00862128" w:rsidRDefault="00862128" w:rsidP="00454DDD">
      <w:pPr>
        <w:pStyle w:val="texto"/>
        <w:tabs>
          <w:tab w:val="left" w:pos="284"/>
        </w:tabs>
        <w:spacing w:before="0" w:line="240" w:lineRule="auto"/>
        <w:ind w:left="720" w:firstLine="0"/>
        <w:rPr>
          <w:sz w:val="28"/>
          <w:szCs w:val="28"/>
        </w:rPr>
      </w:pPr>
      <w:r w:rsidRPr="00862128">
        <w:rPr>
          <w:color w:val="auto"/>
          <w:sz w:val="28"/>
          <w:szCs w:val="28"/>
        </w:rPr>
        <w:t xml:space="preserve"> “C</w:t>
      </w:r>
      <w:r w:rsidRPr="00862128">
        <w:rPr>
          <w:sz w:val="28"/>
          <w:szCs w:val="28"/>
        </w:rPr>
        <w:t>uando cualquier norma exija la presencia de una firma o e</w:t>
      </w:r>
      <w:r w:rsidRPr="00862128">
        <w:rPr>
          <w:sz w:val="28"/>
          <w:szCs w:val="28"/>
        </w:rPr>
        <w:t>stablezca ciertas consecuencias en ausencia de la misma, en relación con un mensaje de datos, se entenderá satisfecho dicho requerimiento si: a) Se ha utilizado un método que permita identificar al iniciador de un mensaje de datos y para indicar que el con</w:t>
      </w:r>
      <w:r w:rsidRPr="00862128">
        <w:rPr>
          <w:sz w:val="28"/>
          <w:szCs w:val="28"/>
        </w:rPr>
        <w:t>tenido cuenta con su aprobación;  b) Que el método sea tanto confiable como apropiado para el propósito por el cual el mensaje fue generado o comunicado.</w:t>
      </w:r>
    </w:p>
    <w:p w:rsidR="00454DDD" w:rsidRPr="00862128" w:rsidRDefault="00862128" w:rsidP="00454DDD">
      <w:pPr>
        <w:pStyle w:val="texto"/>
        <w:tabs>
          <w:tab w:val="left" w:pos="284"/>
        </w:tabs>
        <w:spacing w:before="0" w:line="240" w:lineRule="auto"/>
        <w:ind w:left="720" w:firstLine="0"/>
        <w:rPr>
          <w:sz w:val="28"/>
          <w:szCs w:val="28"/>
        </w:rPr>
      </w:pPr>
    </w:p>
    <w:p w:rsidR="00454DDD" w:rsidRPr="00862128" w:rsidRDefault="00862128" w:rsidP="00454DDD">
      <w:pPr>
        <w:pStyle w:val="texto"/>
        <w:tabs>
          <w:tab w:val="left" w:pos="284"/>
        </w:tabs>
        <w:spacing w:before="0" w:line="240" w:lineRule="auto"/>
        <w:ind w:left="720" w:firstLine="0"/>
        <w:rPr>
          <w:sz w:val="28"/>
          <w:szCs w:val="28"/>
        </w:rPr>
      </w:pPr>
      <w:r w:rsidRPr="00862128">
        <w:rPr>
          <w:sz w:val="28"/>
          <w:szCs w:val="28"/>
        </w:rPr>
        <w:t>Lo dispuesto en este artículo se aplicará tanto si el requisito establecido en cualquier norma consti</w:t>
      </w:r>
      <w:r w:rsidRPr="00862128">
        <w:rPr>
          <w:sz w:val="28"/>
          <w:szCs w:val="28"/>
        </w:rPr>
        <w:t>tuye una obligación, como si las normas simplemente prevén consecuencias en el caso de que no exista una firma.”</w:t>
      </w:r>
    </w:p>
    <w:p w:rsidR="00454DDD" w:rsidRPr="00862128" w:rsidRDefault="00862128" w:rsidP="00454DDD">
      <w:pPr>
        <w:pStyle w:val="texto"/>
        <w:tabs>
          <w:tab w:val="left" w:pos="284"/>
        </w:tabs>
        <w:spacing w:before="0" w:line="240" w:lineRule="auto"/>
        <w:ind w:left="720" w:firstLine="0"/>
        <w:rPr>
          <w:sz w:val="28"/>
          <w:szCs w:val="28"/>
        </w:rPr>
      </w:pPr>
    </w:p>
    <w:p w:rsidR="00454DDD" w:rsidRPr="00862128" w:rsidRDefault="00862128" w:rsidP="00454DDD">
      <w:pPr>
        <w:pStyle w:val="texto"/>
        <w:numPr>
          <w:ilvl w:val="0"/>
          <w:numId w:val="4"/>
        </w:numPr>
        <w:tabs>
          <w:tab w:val="left" w:pos="284"/>
        </w:tabs>
        <w:spacing w:before="0" w:line="240" w:lineRule="auto"/>
        <w:ind w:left="0" w:firstLine="0"/>
        <w:rPr>
          <w:sz w:val="28"/>
          <w:szCs w:val="28"/>
        </w:rPr>
      </w:pPr>
      <w:r w:rsidRPr="00862128">
        <w:rPr>
          <w:color w:val="auto"/>
          <w:sz w:val="28"/>
          <w:szCs w:val="28"/>
        </w:rPr>
        <w:t xml:space="preserve">El equivalente de la firma electrónica se funda en el reconocimiento de las funciones que se atribuyen a una firma en los documentos físicos, </w:t>
      </w:r>
      <w:r w:rsidRPr="00862128">
        <w:rPr>
          <w:color w:val="auto"/>
          <w:sz w:val="28"/>
          <w:szCs w:val="28"/>
        </w:rPr>
        <w:t>las cuales deben cumplirse en los documentos electrónicos, enfocándose en los siguientes papeles de la firma: a) identificar a una persona (firmante); b) dar certeza de la participación personal de esa persona en el acto de firmar; y c) asociar a esa perso</w:t>
      </w:r>
      <w:r w:rsidRPr="00862128">
        <w:rPr>
          <w:color w:val="auto"/>
          <w:sz w:val="28"/>
          <w:szCs w:val="28"/>
        </w:rPr>
        <w:t>na con el contenido de un documento (confirmación de que el autor aprueba el contenido del documento).  La norma citada se centra en las dos funciones básicas de la firma: la identificación del autor y la confirmación de que aprueba el contenido del docume</w:t>
      </w:r>
      <w:r w:rsidRPr="00862128">
        <w:rPr>
          <w:color w:val="auto"/>
          <w:sz w:val="28"/>
          <w:szCs w:val="28"/>
        </w:rPr>
        <w:t xml:space="preserve">nto.  </w:t>
      </w:r>
    </w:p>
    <w:p w:rsidR="00454DDD" w:rsidRPr="00862128" w:rsidRDefault="00862128" w:rsidP="00454DDD">
      <w:pPr>
        <w:pStyle w:val="texto"/>
        <w:tabs>
          <w:tab w:val="left" w:pos="284"/>
        </w:tabs>
        <w:spacing w:before="0" w:line="240" w:lineRule="auto"/>
        <w:ind w:firstLine="0"/>
        <w:rPr>
          <w:sz w:val="28"/>
          <w:szCs w:val="28"/>
        </w:rPr>
      </w:pPr>
    </w:p>
    <w:p w:rsidR="00B219E4" w:rsidRPr="00862128" w:rsidRDefault="00862128" w:rsidP="0023150E">
      <w:pPr>
        <w:pStyle w:val="texto"/>
        <w:numPr>
          <w:ilvl w:val="0"/>
          <w:numId w:val="4"/>
        </w:numPr>
        <w:tabs>
          <w:tab w:val="left" w:pos="284"/>
        </w:tabs>
        <w:spacing w:before="0" w:line="240" w:lineRule="auto"/>
        <w:ind w:left="0" w:firstLine="0"/>
        <w:rPr>
          <w:color w:val="auto"/>
          <w:sz w:val="28"/>
          <w:szCs w:val="28"/>
        </w:rPr>
      </w:pPr>
      <w:r w:rsidRPr="00862128">
        <w:rPr>
          <w:sz w:val="28"/>
          <w:szCs w:val="28"/>
        </w:rPr>
        <w:t>La regulación colombiana permite el uso de diferentes opciones para identificarse electrónicamente como, entre otras, las siguientes</w:t>
      </w:r>
      <w:r w:rsidRPr="00862128">
        <w:rPr>
          <w:sz w:val="28"/>
          <w:szCs w:val="28"/>
        </w:rPr>
        <w:t xml:space="preserve">: </w:t>
      </w:r>
    </w:p>
    <w:p w:rsidR="00454DDD" w:rsidRPr="00862128" w:rsidRDefault="00862128" w:rsidP="003664DF">
      <w:pPr>
        <w:pStyle w:val="texto"/>
        <w:tabs>
          <w:tab w:val="left" w:pos="284"/>
        </w:tabs>
        <w:spacing w:before="0" w:line="240" w:lineRule="auto"/>
        <w:ind w:firstLine="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722"/>
      </w:tblGrid>
      <w:tr w:rsidR="00454DDD" w:rsidRPr="00862128" w:rsidTr="00862128">
        <w:tc>
          <w:tcPr>
            <w:tcW w:w="4106" w:type="dxa"/>
            <w:shd w:val="clear" w:color="auto" w:fill="auto"/>
          </w:tcPr>
          <w:p w:rsidR="00454DDD" w:rsidRPr="00862128" w:rsidRDefault="00862128" w:rsidP="00862128">
            <w:pPr>
              <w:pStyle w:val="texto"/>
              <w:tabs>
                <w:tab w:val="left" w:pos="284"/>
              </w:tabs>
              <w:spacing w:before="0" w:line="240" w:lineRule="auto"/>
              <w:ind w:firstLine="0"/>
              <w:jc w:val="center"/>
              <w:rPr>
                <w:b/>
                <w:bCs/>
                <w:color w:val="auto"/>
                <w:sz w:val="28"/>
                <w:szCs w:val="26"/>
              </w:rPr>
            </w:pPr>
            <w:r w:rsidRPr="00862128">
              <w:rPr>
                <w:b/>
                <w:bCs/>
                <w:color w:val="auto"/>
                <w:sz w:val="28"/>
                <w:szCs w:val="26"/>
              </w:rPr>
              <w:t>Alternativa de identificación electrónica</w:t>
            </w:r>
          </w:p>
        </w:tc>
        <w:tc>
          <w:tcPr>
            <w:tcW w:w="4722" w:type="dxa"/>
            <w:shd w:val="clear" w:color="auto" w:fill="auto"/>
          </w:tcPr>
          <w:p w:rsidR="00454DDD" w:rsidRPr="00862128" w:rsidRDefault="00862128" w:rsidP="00862128">
            <w:pPr>
              <w:pStyle w:val="texto"/>
              <w:tabs>
                <w:tab w:val="left" w:pos="284"/>
              </w:tabs>
              <w:spacing w:before="0" w:line="240" w:lineRule="auto"/>
              <w:ind w:firstLine="0"/>
              <w:jc w:val="center"/>
              <w:rPr>
                <w:b/>
                <w:bCs/>
                <w:color w:val="auto"/>
                <w:sz w:val="28"/>
                <w:szCs w:val="26"/>
              </w:rPr>
            </w:pPr>
            <w:r w:rsidRPr="00862128">
              <w:rPr>
                <w:b/>
                <w:bCs/>
                <w:color w:val="auto"/>
                <w:sz w:val="28"/>
                <w:szCs w:val="26"/>
              </w:rPr>
              <w:t>Fuente legal</w:t>
            </w:r>
          </w:p>
        </w:tc>
      </w:tr>
      <w:tr w:rsidR="00454DDD" w:rsidRPr="00862128" w:rsidTr="00862128">
        <w:trPr>
          <w:trHeight w:val="703"/>
        </w:trPr>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Firma electrónica</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 xml:space="preserve">Artículo 7 de la Ley 527 de 1999 y </w:t>
            </w:r>
            <w:r w:rsidRPr="00862128">
              <w:rPr>
                <w:color w:val="auto"/>
                <w:sz w:val="28"/>
                <w:szCs w:val="24"/>
              </w:rPr>
              <w:t>Decreto 2364 de 2012 (incorporado en el Decreto 1074 de 2015). Definida en el numeral 3 del artículo 1 del citado Decreto.</w:t>
            </w:r>
          </w:p>
        </w:tc>
      </w:tr>
      <w:tr w:rsidR="00454DDD" w:rsidRPr="00862128" w:rsidTr="00862128">
        <w:trPr>
          <w:trHeight w:val="700"/>
        </w:trPr>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Firma electrónica certificada</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Numeral 1 del artículo 30 de la Ley 527 de 1999</w:t>
            </w:r>
          </w:p>
        </w:tc>
      </w:tr>
      <w:tr w:rsidR="00454DDD" w:rsidRPr="00862128" w:rsidTr="00862128">
        <w:trPr>
          <w:trHeight w:val="696"/>
        </w:trPr>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Firma electrónica pacta</w:t>
            </w:r>
            <w:r w:rsidRPr="00862128">
              <w:rPr>
                <w:color w:val="auto"/>
                <w:sz w:val="28"/>
                <w:szCs w:val="24"/>
              </w:rPr>
              <w:t>da</w:t>
            </w:r>
            <w:r w:rsidRPr="00862128">
              <w:rPr>
                <w:color w:val="auto"/>
                <w:sz w:val="28"/>
                <w:szCs w:val="24"/>
              </w:rPr>
              <w:t xml:space="preserve"> mediante acuerdo</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 xml:space="preserve">Numeral 1 </w:t>
            </w:r>
            <w:r w:rsidRPr="00862128">
              <w:rPr>
                <w:color w:val="auto"/>
                <w:sz w:val="28"/>
                <w:szCs w:val="24"/>
              </w:rPr>
              <w:t>del artículo 1 y artículo 7 del Decreto 2364 de 2012</w:t>
            </w:r>
          </w:p>
        </w:tc>
      </w:tr>
      <w:tr w:rsidR="00454DDD" w:rsidRPr="00862128" w:rsidTr="00862128">
        <w:trPr>
          <w:trHeight w:val="690"/>
        </w:trPr>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Firma digital</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Literal c) del artículo 2 y artículo 28 de la Ley 527 de 1999</w:t>
            </w:r>
          </w:p>
        </w:tc>
      </w:tr>
      <w:tr w:rsidR="00454DDD" w:rsidRPr="00862128" w:rsidTr="00862128">
        <w:trPr>
          <w:trHeight w:val="998"/>
        </w:trPr>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 xml:space="preserve">Firma digital certificada por una entidad de certificación abierta </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Numeral 1 del artículo 3 del Decreto 333 de 2014 (incorpo</w:t>
            </w:r>
            <w:r w:rsidRPr="00862128">
              <w:rPr>
                <w:color w:val="auto"/>
                <w:sz w:val="28"/>
                <w:szCs w:val="24"/>
              </w:rPr>
              <w:t>rado en el Decreto 1074 de 2015)</w:t>
            </w:r>
          </w:p>
        </w:tc>
      </w:tr>
      <w:tr w:rsidR="00454DDD" w:rsidRPr="00862128" w:rsidTr="00862128">
        <w:tc>
          <w:tcPr>
            <w:tcW w:w="4106"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Firma digital certificada por una entidad de certificación cerrada</w:t>
            </w:r>
          </w:p>
        </w:tc>
        <w:tc>
          <w:tcPr>
            <w:tcW w:w="4722" w:type="dxa"/>
            <w:shd w:val="clear" w:color="auto" w:fill="auto"/>
          </w:tcPr>
          <w:p w:rsidR="00454DDD" w:rsidRPr="00862128" w:rsidRDefault="00862128" w:rsidP="00862128">
            <w:pPr>
              <w:pStyle w:val="texto"/>
              <w:tabs>
                <w:tab w:val="left" w:pos="284"/>
              </w:tabs>
              <w:spacing w:before="0" w:line="240" w:lineRule="auto"/>
              <w:ind w:firstLine="0"/>
              <w:rPr>
                <w:color w:val="auto"/>
                <w:sz w:val="28"/>
                <w:szCs w:val="24"/>
              </w:rPr>
            </w:pPr>
            <w:r w:rsidRPr="00862128">
              <w:rPr>
                <w:color w:val="auto"/>
                <w:sz w:val="28"/>
                <w:szCs w:val="24"/>
              </w:rPr>
              <w:t>Numeral 1 del artículo 3 del decreto 333 de 2014 (incorporado en el Decreto 1074 de 2015)</w:t>
            </w:r>
          </w:p>
        </w:tc>
      </w:tr>
    </w:tbl>
    <w:p w:rsidR="00454DDD" w:rsidRPr="00862128" w:rsidRDefault="00862128" w:rsidP="003664DF">
      <w:pPr>
        <w:tabs>
          <w:tab w:val="left" w:pos="567"/>
        </w:tabs>
        <w:jc w:val="both"/>
        <w:rPr>
          <w:rFonts w:ascii="Times New Roman" w:hAnsi="Times New Roman"/>
          <w:sz w:val="28"/>
        </w:rPr>
      </w:pPr>
      <w:r w:rsidRPr="00862128">
        <w:rPr>
          <w:rFonts w:ascii="Times New Roman" w:hAnsi="Times New Roman"/>
          <w:sz w:val="28"/>
        </w:rPr>
        <w:t xml:space="preserve">Tabla 2. </w:t>
      </w:r>
      <w:r w:rsidRPr="00862128">
        <w:rPr>
          <w:rFonts w:ascii="Times New Roman" w:hAnsi="Times New Roman"/>
          <w:i/>
          <w:iCs/>
          <w:sz w:val="28"/>
        </w:rPr>
        <w:t>Alternativas de identificación electrónica</w:t>
      </w:r>
      <w:r w:rsidRPr="00862128">
        <w:rPr>
          <w:rFonts w:ascii="Times New Roman" w:hAnsi="Times New Roman"/>
          <w:i/>
          <w:iCs/>
          <w:sz w:val="28"/>
        </w:rPr>
        <w:t xml:space="preserve"> establecidas en la regulación colombiana</w:t>
      </w:r>
    </w:p>
    <w:p w:rsidR="00A917B4" w:rsidRPr="00862128" w:rsidRDefault="00862128" w:rsidP="00454DDD">
      <w:pPr>
        <w:pStyle w:val="Prrafodelista"/>
        <w:tabs>
          <w:tab w:val="left" w:pos="567"/>
        </w:tabs>
        <w:jc w:val="both"/>
        <w:rPr>
          <w:rFonts w:ascii="Times New Roman" w:hAnsi="Times New Roman"/>
          <w:sz w:val="28"/>
          <w:szCs w:val="28"/>
        </w:rPr>
      </w:pPr>
    </w:p>
    <w:p w:rsidR="00454DDD" w:rsidRPr="00862128" w:rsidRDefault="00862128" w:rsidP="00454DDD">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 lo anterior se suman algunas normas</w:t>
      </w:r>
      <w:r w:rsidRPr="00862128">
        <w:rPr>
          <w:rStyle w:val="Refdenotaalpie"/>
          <w:rFonts w:ascii="Times New Roman" w:hAnsi="Times New Roman"/>
          <w:sz w:val="28"/>
        </w:rPr>
        <w:footnoteReference w:id="53"/>
      </w:r>
      <w:r w:rsidRPr="00862128">
        <w:rPr>
          <w:rFonts w:ascii="Times New Roman" w:hAnsi="Times New Roman"/>
          <w:sz w:val="28"/>
        </w:rPr>
        <w:t xml:space="preserve"> </w:t>
      </w:r>
      <w:r w:rsidRPr="00862128">
        <w:rPr>
          <w:rFonts w:ascii="Times New Roman" w:hAnsi="Times New Roman"/>
          <w:sz w:val="28"/>
          <w:szCs w:val="28"/>
        </w:rPr>
        <w:t xml:space="preserve">que utilizan diferentes expresiones para incluir otras alternativas de identificación electrónica como, entre otras, firma digitalizada o escaneada, que hacen parte del </w:t>
      </w:r>
      <w:r w:rsidRPr="00862128">
        <w:rPr>
          <w:rFonts w:ascii="Times New Roman" w:hAnsi="Times New Roman"/>
          <w:sz w:val="28"/>
          <w:szCs w:val="28"/>
        </w:rPr>
        <w:t>concepto general de firma electrónica. En suma, existe un pluralismo terminológico de opciones jurídicas para identificarse electrónicamente.</w:t>
      </w:r>
    </w:p>
    <w:p w:rsidR="00454DDD" w:rsidRPr="00862128" w:rsidRDefault="00862128" w:rsidP="00454DDD">
      <w:pPr>
        <w:pStyle w:val="Prrafodelista"/>
        <w:tabs>
          <w:tab w:val="left" w:pos="567"/>
        </w:tabs>
        <w:ind w:left="0"/>
        <w:jc w:val="both"/>
        <w:rPr>
          <w:rFonts w:ascii="Times New Roman" w:hAnsi="Times New Roman"/>
          <w:sz w:val="28"/>
          <w:szCs w:val="28"/>
        </w:rPr>
      </w:pPr>
    </w:p>
    <w:p w:rsidR="00FB7FA5" w:rsidRPr="00862128" w:rsidRDefault="00862128" w:rsidP="00FB7FA5">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El Decreto 2364 de 2012</w:t>
      </w:r>
      <w:r w:rsidRPr="00862128">
        <w:rPr>
          <w:rStyle w:val="Refdenotaalpie"/>
          <w:rFonts w:ascii="Times New Roman" w:hAnsi="Times New Roman"/>
          <w:sz w:val="28"/>
          <w:szCs w:val="28"/>
        </w:rPr>
        <w:footnoteReference w:id="54"/>
      </w:r>
      <w:r w:rsidRPr="00862128">
        <w:rPr>
          <w:rFonts w:ascii="Times New Roman" w:hAnsi="Times New Roman"/>
          <w:sz w:val="28"/>
          <w:szCs w:val="28"/>
        </w:rPr>
        <w:t xml:space="preserve"> </w:t>
      </w:r>
      <w:r w:rsidRPr="00862128">
        <w:rPr>
          <w:rFonts w:ascii="Times New Roman" w:hAnsi="Times New Roman"/>
          <w:sz w:val="28"/>
          <w:szCs w:val="28"/>
        </w:rPr>
        <w:t xml:space="preserve">(incorporado </w:t>
      </w:r>
      <w:r w:rsidRPr="00862128">
        <w:rPr>
          <w:rFonts w:ascii="Times New Roman" w:hAnsi="Times New Roman"/>
          <w:sz w:val="28"/>
          <w:szCs w:val="28"/>
        </w:rPr>
        <w:t xml:space="preserve">o compilado </w:t>
      </w:r>
      <w:r w:rsidRPr="00862128">
        <w:rPr>
          <w:rFonts w:ascii="Times New Roman" w:hAnsi="Times New Roman"/>
          <w:sz w:val="28"/>
          <w:szCs w:val="28"/>
        </w:rPr>
        <w:t>en el decreto 1074 de 2015</w:t>
      </w:r>
      <w:r w:rsidRPr="00862128">
        <w:rPr>
          <w:rStyle w:val="Refdenotaalpie"/>
          <w:rFonts w:ascii="Times New Roman" w:hAnsi="Times New Roman"/>
          <w:sz w:val="28"/>
          <w:szCs w:val="28"/>
        </w:rPr>
        <w:footnoteReference w:id="55"/>
      </w:r>
      <w:r w:rsidRPr="00862128">
        <w:rPr>
          <w:rFonts w:ascii="Times New Roman" w:hAnsi="Times New Roman"/>
          <w:sz w:val="28"/>
          <w:szCs w:val="28"/>
        </w:rPr>
        <w:t xml:space="preserve">) </w:t>
      </w:r>
      <w:r w:rsidRPr="00862128">
        <w:rPr>
          <w:rFonts w:ascii="Times New Roman" w:hAnsi="Times New Roman"/>
          <w:sz w:val="28"/>
          <w:szCs w:val="28"/>
        </w:rPr>
        <w:t xml:space="preserve">reglamentó la firma electrónica. </w:t>
      </w:r>
      <w:r w:rsidRPr="00862128">
        <w:rPr>
          <w:rFonts w:ascii="Times New Roman" w:hAnsi="Times New Roman"/>
          <w:sz w:val="28"/>
          <w:szCs w:val="28"/>
        </w:rPr>
        <w:t>Para referirse a la misma enuncia algunos ejemplos de lo que comprende dicho término al señalar que son “métodos tales como, códigos, contraseñas, datos biométricos, o claves criptográficas privadas, que permite identificar a una persona, en relación con u</w:t>
      </w:r>
      <w:r w:rsidRPr="00862128">
        <w:rPr>
          <w:rFonts w:ascii="Times New Roman" w:hAnsi="Times New Roman"/>
          <w:sz w:val="28"/>
          <w:szCs w:val="28"/>
        </w:rPr>
        <w:t>n mensaje de datos, siempre y cuando el mismo sea confiable y apropiado respecto de los fines para los que se utiliza la firma, atendidas todas las circunstancias del caso, así como cualquier acuerdo pertinente”</w:t>
      </w:r>
      <w:r w:rsidRPr="00862128">
        <w:rPr>
          <w:rStyle w:val="Refdenotaalpie"/>
          <w:rFonts w:ascii="Times New Roman" w:hAnsi="Times New Roman"/>
          <w:sz w:val="28"/>
          <w:szCs w:val="28"/>
        </w:rPr>
        <w:footnoteReference w:id="56"/>
      </w:r>
      <w:r w:rsidRPr="00862128">
        <w:rPr>
          <w:rFonts w:ascii="Times New Roman" w:hAnsi="Times New Roman"/>
          <w:sz w:val="28"/>
          <w:szCs w:val="28"/>
        </w:rPr>
        <w:t>. Precisa esa norma que “la firma electrónic</w:t>
      </w:r>
      <w:r w:rsidRPr="00862128">
        <w:rPr>
          <w:rFonts w:ascii="Times New Roman" w:hAnsi="Times New Roman"/>
          <w:sz w:val="28"/>
          <w:szCs w:val="28"/>
        </w:rPr>
        <w:t>a tendrá la misma validez y efectos jurídicos que la firma, si aquella cumple con los requisitos establecidos en el artículo 3° de este decreto”</w:t>
      </w:r>
      <w:r w:rsidRPr="00862128">
        <w:rPr>
          <w:rStyle w:val="Ttulo6Car"/>
          <w:rFonts w:ascii="Times New Roman" w:hAnsi="Times New Roman"/>
          <w:color w:val="auto"/>
          <w:sz w:val="28"/>
          <w:szCs w:val="28"/>
        </w:rPr>
        <w:t xml:space="preserve"> </w:t>
      </w:r>
      <w:r w:rsidRPr="00862128">
        <w:rPr>
          <w:rStyle w:val="Refdenotaalpie"/>
          <w:rFonts w:ascii="Times New Roman" w:hAnsi="Times New Roman"/>
          <w:sz w:val="28"/>
          <w:szCs w:val="28"/>
        </w:rPr>
        <w:footnoteReference w:id="57"/>
      </w:r>
      <w:r w:rsidRPr="00862128">
        <w:rPr>
          <w:rFonts w:ascii="Times New Roman" w:hAnsi="Times New Roman"/>
          <w:sz w:val="28"/>
          <w:szCs w:val="28"/>
        </w:rPr>
        <w:t xml:space="preserve"> , es decir, que se utilicen mecanismos electrónicos confiables y apropiados para identificar a una persona re</w:t>
      </w:r>
      <w:r w:rsidRPr="00862128">
        <w:rPr>
          <w:rFonts w:ascii="Times New Roman" w:hAnsi="Times New Roman"/>
          <w:sz w:val="28"/>
          <w:szCs w:val="28"/>
        </w:rPr>
        <w:t xml:space="preserve">specto de la creación y comunicación de un mensaje de datos. </w:t>
      </w:r>
    </w:p>
    <w:p w:rsidR="00FB7FA5" w:rsidRPr="00862128" w:rsidRDefault="00862128" w:rsidP="00FB7FA5">
      <w:pPr>
        <w:pStyle w:val="Prrafodelista"/>
        <w:tabs>
          <w:tab w:val="left" w:pos="567"/>
        </w:tabs>
        <w:ind w:left="0"/>
        <w:jc w:val="both"/>
        <w:rPr>
          <w:rFonts w:ascii="Times New Roman" w:hAnsi="Times New Roman"/>
          <w:sz w:val="28"/>
          <w:szCs w:val="28"/>
        </w:rPr>
      </w:pPr>
    </w:p>
    <w:p w:rsidR="00454DDD" w:rsidRPr="00862128" w:rsidRDefault="00862128" w:rsidP="00454DDD">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Junto al concepto de firma electrónica se encuentra la firma digital, </w:t>
      </w:r>
      <w:r w:rsidRPr="00862128">
        <w:rPr>
          <w:rFonts w:ascii="Times New Roman" w:hAnsi="Times New Roman"/>
          <w:sz w:val="28"/>
          <w:szCs w:val="28"/>
        </w:rPr>
        <w:t xml:space="preserve">cuya </w:t>
      </w:r>
      <w:r w:rsidRPr="00862128">
        <w:rPr>
          <w:rFonts w:ascii="Times New Roman" w:hAnsi="Times New Roman"/>
          <w:sz w:val="28"/>
          <w:szCs w:val="28"/>
        </w:rPr>
        <w:t xml:space="preserve"> definición </w:t>
      </w:r>
      <w:r w:rsidRPr="00862128">
        <w:rPr>
          <w:rFonts w:ascii="Times New Roman" w:hAnsi="Times New Roman"/>
          <w:sz w:val="28"/>
          <w:szCs w:val="28"/>
        </w:rPr>
        <w:t>legal</w:t>
      </w:r>
      <w:r w:rsidRPr="00862128">
        <w:rPr>
          <w:rStyle w:val="Refdenotaalpie"/>
          <w:rFonts w:ascii="Times New Roman" w:hAnsi="Times New Roman"/>
          <w:sz w:val="28"/>
          <w:szCs w:val="28"/>
        </w:rPr>
        <w:footnoteReference w:id="58"/>
      </w:r>
      <w:r w:rsidRPr="00862128">
        <w:rPr>
          <w:rFonts w:ascii="Times New Roman" w:hAnsi="Times New Roman"/>
          <w:sz w:val="28"/>
          <w:szCs w:val="28"/>
        </w:rPr>
        <w:t xml:space="preserve"> </w:t>
      </w:r>
      <w:r w:rsidRPr="00862128">
        <w:rPr>
          <w:rFonts w:ascii="Times New Roman" w:hAnsi="Times New Roman"/>
          <w:sz w:val="28"/>
          <w:szCs w:val="28"/>
        </w:rPr>
        <w:t xml:space="preserve"> se estructura a partir de la clave privada y la pública. Con la primera se genera la firma digital de un mensaje de datos, y con la segunda se verifica que dicha firma fue emitida con la clave privada del iniciador</w:t>
      </w:r>
      <w:r w:rsidRPr="00862128">
        <w:rPr>
          <w:rStyle w:val="Refdenotaalpie"/>
          <w:rFonts w:ascii="Times New Roman" w:hAnsi="Times New Roman"/>
          <w:sz w:val="28"/>
          <w:szCs w:val="28"/>
        </w:rPr>
        <w:footnoteReference w:id="59"/>
      </w:r>
      <w:r w:rsidRPr="00862128">
        <w:rPr>
          <w:rFonts w:ascii="Times New Roman" w:hAnsi="Times New Roman"/>
          <w:sz w:val="28"/>
          <w:szCs w:val="28"/>
        </w:rPr>
        <w:t xml:space="preserve">. </w:t>
      </w:r>
    </w:p>
    <w:p w:rsidR="000C45B9" w:rsidRPr="00862128" w:rsidRDefault="00862128" w:rsidP="00BE5143">
      <w:pPr>
        <w:rPr>
          <w:rFonts w:ascii="Times New Roman" w:hAnsi="Times New Roman"/>
          <w:sz w:val="28"/>
          <w:szCs w:val="28"/>
        </w:rPr>
      </w:pPr>
    </w:p>
    <w:p w:rsidR="0072737F" w:rsidRPr="00862128" w:rsidRDefault="00862128" w:rsidP="00BE5143">
      <w:pPr>
        <w:pStyle w:val="Ttulo3"/>
        <w:spacing w:before="0" w:after="0"/>
        <w:rPr>
          <w:rFonts w:ascii="Times New Roman" w:hAnsi="Times New Roman"/>
          <w:b/>
          <w:bCs/>
          <w:color w:val="auto"/>
        </w:rPr>
      </w:pPr>
      <w:bookmarkStart w:id="20" w:name="_Toc223713284"/>
      <w:r w:rsidRPr="00862128">
        <w:rPr>
          <w:rFonts w:ascii="Times New Roman" w:hAnsi="Times New Roman"/>
          <w:b/>
          <w:bCs/>
          <w:color w:val="auto"/>
        </w:rPr>
        <w:t>3</w:t>
      </w:r>
      <w:r w:rsidRPr="00862128">
        <w:rPr>
          <w:rFonts w:ascii="Times New Roman" w:hAnsi="Times New Roman"/>
          <w:b/>
          <w:bCs/>
          <w:color w:val="auto"/>
        </w:rPr>
        <w:t xml:space="preserve">. </w:t>
      </w:r>
      <w:r w:rsidRPr="00862128">
        <w:rPr>
          <w:rFonts w:ascii="Times New Roman" w:hAnsi="Times New Roman"/>
          <w:b/>
          <w:bCs/>
          <w:color w:val="auto"/>
        </w:rPr>
        <w:t xml:space="preserve">Cuestión previa: </w:t>
      </w:r>
      <w:r w:rsidRPr="00862128">
        <w:rPr>
          <w:rFonts w:ascii="Times New Roman" w:hAnsi="Times New Roman"/>
          <w:b/>
          <w:bCs/>
          <w:color w:val="auto"/>
        </w:rPr>
        <w:t>análisis</w:t>
      </w:r>
      <w:r w:rsidRPr="00862128">
        <w:rPr>
          <w:rFonts w:ascii="Times New Roman" w:hAnsi="Times New Roman"/>
          <w:b/>
          <w:bCs/>
          <w:color w:val="auto"/>
        </w:rPr>
        <w:t xml:space="preserve"> sobre l</w:t>
      </w:r>
      <w:r w:rsidRPr="00862128">
        <w:rPr>
          <w:rFonts w:ascii="Times New Roman" w:hAnsi="Times New Roman"/>
          <w:b/>
          <w:bCs/>
          <w:color w:val="auto"/>
        </w:rPr>
        <w:t xml:space="preserve">a aptitud </w:t>
      </w:r>
      <w:r w:rsidRPr="00862128">
        <w:rPr>
          <w:rFonts w:ascii="Times New Roman" w:hAnsi="Times New Roman"/>
          <w:b/>
          <w:bCs/>
          <w:color w:val="auto"/>
        </w:rPr>
        <w:t xml:space="preserve">sustantiva </w:t>
      </w:r>
      <w:r w:rsidRPr="00862128">
        <w:rPr>
          <w:rFonts w:ascii="Times New Roman" w:hAnsi="Times New Roman"/>
          <w:b/>
          <w:bCs/>
          <w:color w:val="auto"/>
        </w:rPr>
        <w:t>de la demanda</w:t>
      </w:r>
      <w:bookmarkEnd w:id="20"/>
    </w:p>
    <w:p w:rsidR="00381D3D" w:rsidRPr="00862128" w:rsidRDefault="00862128" w:rsidP="00381D3D">
      <w:pPr>
        <w:pStyle w:val="Prrafodelista"/>
        <w:tabs>
          <w:tab w:val="left" w:pos="567"/>
        </w:tabs>
        <w:ind w:left="0"/>
        <w:jc w:val="both"/>
        <w:rPr>
          <w:rFonts w:ascii="Times New Roman" w:hAnsi="Times New Roman"/>
          <w:b/>
          <w:bCs/>
          <w:sz w:val="28"/>
          <w:szCs w:val="28"/>
        </w:rPr>
      </w:pPr>
    </w:p>
    <w:p w:rsidR="009B4CA3" w:rsidRPr="00862128" w:rsidRDefault="00862128" w:rsidP="009B4CA3">
      <w:pPr>
        <w:pStyle w:val="Prrafodelista"/>
        <w:numPr>
          <w:ilvl w:val="0"/>
          <w:numId w:val="4"/>
        </w:numPr>
        <w:tabs>
          <w:tab w:val="left" w:pos="567"/>
        </w:tabs>
        <w:ind w:left="0" w:firstLine="0"/>
        <w:jc w:val="both"/>
        <w:rPr>
          <w:rFonts w:ascii="Times New Roman" w:hAnsi="Times New Roman"/>
          <w:sz w:val="28"/>
          <w:szCs w:val="28"/>
          <w:lang w:val="es-ES"/>
        </w:rPr>
      </w:pPr>
      <w:r w:rsidRPr="00862128">
        <w:rPr>
          <w:rFonts w:ascii="Times New Roman" w:hAnsi="Times New Roman"/>
          <w:sz w:val="28"/>
          <w:szCs w:val="28"/>
          <w:lang w:val="es-ES"/>
        </w:rPr>
        <w:t xml:space="preserve">La jurisprudencia de esta Corporación establece que el examen de la Corte está limitado a los cargos formulados en la demanda cuando se trata de un proceso iniciado a partir de la presentación de una acción pública de </w:t>
      </w:r>
      <w:r w:rsidRPr="00862128">
        <w:rPr>
          <w:rFonts w:ascii="Times New Roman" w:hAnsi="Times New Roman"/>
          <w:sz w:val="28"/>
          <w:szCs w:val="28"/>
          <w:lang w:val="es-ES"/>
        </w:rPr>
        <w:t>inconstitucionalidad</w:t>
      </w:r>
      <w:r w:rsidRPr="00862128">
        <w:rPr>
          <w:rStyle w:val="Refdenotaalpie"/>
          <w:rFonts w:ascii="Times New Roman" w:hAnsi="Times New Roman"/>
          <w:sz w:val="28"/>
          <w:szCs w:val="28"/>
          <w:lang w:val="es-ES"/>
        </w:rPr>
        <w:footnoteReference w:id="60"/>
      </w:r>
      <w:r w:rsidRPr="00862128">
        <w:rPr>
          <w:rFonts w:ascii="Times New Roman" w:hAnsi="Times New Roman"/>
          <w:sz w:val="28"/>
          <w:szCs w:val="28"/>
          <w:lang w:val="es-ES"/>
        </w:rPr>
        <w:t>. El proceso de constitucionalidad no solo es participativo y democrático, sino que tiene carácter rogado, “por lo que resulta fundamental que los argumentos contenidos en la demanda no solo sean el punto de partida sino el eje que art</w:t>
      </w:r>
      <w:r w:rsidRPr="00862128">
        <w:rPr>
          <w:rFonts w:ascii="Times New Roman" w:hAnsi="Times New Roman"/>
          <w:sz w:val="28"/>
          <w:szCs w:val="28"/>
          <w:lang w:val="es-ES"/>
        </w:rPr>
        <w:t>icula toda la discusión, pues es en relación con éstos que los intervinientes fijan su postura y presentan sus argumentos de impugnación o defensa de las normas objeto de juzgamiento</w:t>
      </w:r>
      <w:r w:rsidRPr="00862128">
        <w:rPr>
          <w:rFonts w:ascii="Times New Roman" w:hAnsi="Times New Roman"/>
          <w:sz w:val="28"/>
          <w:szCs w:val="28"/>
          <w:vertAlign w:val="superscript"/>
          <w:lang w:val="es-ES"/>
        </w:rPr>
        <w:t xml:space="preserve">” </w:t>
      </w:r>
      <w:r w:rsidRPr="00862128">
        <w:rPr>
          <w:rStyle w:val="Refdenotaalpie"/>
          <w:rFonts w:ascii="Times New Roman" w:hAnsi="Times New Roman"/>
          <w:sz w:val="28"/>
          <w:szCs w:val="28"/>
          <w:lang w:eastAsia="es-MX"/>
        </w:rPr>
        <w:footnoteReference w:id="61"/>
      </w:r>
      <w:r w:rsidRPr="00862128">
        <w:rPr>
          <w:rFonts w:ascii="Times New Roman" w:hAnsi="Times New Roman"/>
          <w:sz w:val="28"/>
          <w:szCs w:val="28"/>
          <w:lang w:eastAsia="es-MX"/>
        </w:rPr>
        <w:t>.</w:t>
      </w:r>
    </w:p>
    <w:p w:rsidR="009B4CA3" w:rsidRPr="00862128" w:rsidRDefault="00862128" w:rsidP="009B4CA3">
      <w:pPr>
        <w:pStyle w:val="Prrafodelista"/>
        <w:tabs>
          <w:tab w:val="left" w:pos="567"/>
        </w:tabs>
        <w:ind w:left="0"/>
        <w:jc w:val="both"/>
        <w:rPr>
          <w:rFonts w:ascii="Times New Roman" w:hAnsi="Times New Roman"/>
          <w:sz w:val="28"/>
          <w:szCs w:val="28"/>
          <w:lang w:val="es-ES"/>
        </w:rPr>
      </w:pPr>
    </w:p>
    <w:p w:rsidR="009B4CA3" w:rsidRPr="00862128" w:rsidRDefault="00862128" w:rsidP="009B4CA3">
      <w:pPr>
        <w:pStyle w:val="Prrafodelista"/>
        <w:numPr>
          <w:ilvl w:val="0"/>
          <w:numId w:val="4"/>
        </w:numPr>
        <w:tabs>
          <w:tab w:val="left" w:pos="567"/>
        </w:tabs>
        <w:ind w:left="0" w:firstLine="0"/>
        <w:jc w:val="both"/>
        <w:rPr>
          <w:rFonts w:ascii="Times New Roman" w:hAnsi="Times New Roman"/>
          <w:sz w:val="28"/>
          <w:szCs w:val="28"/>
          <w:lang w:val="es-ES"/>
        </w:rPr>
      </w:pPr>
      <w:r w:rsidRPr="00862128">
        <w:rPr>
          <w:rFonts w:ascii="Times New Roman" w:hAnsi="Times New Roman"/>
          <w:sz w:val="28"/>
          <w:szCs w:val="28"/>
          <w:lang w:val="es-ES_tradnl"/>
        </w:rPr>
        <w:t>Varios de los intervinientes solicitaron a la Corte declararse inhib</w:t>
      </w:r>
      <w:r w:rsidRPr="00862128">
        <w:rPr>
          <w:rFonts w:ascii="Times New Roman" w:hAnsi="Times New Roman"/>
          <w:sz w:val="28"/>
          <w:szCs w:val="28"/>
          <w:lang w:val="es-ES_tradnl"/>
        </w:rPr>
        <w:t>ida frente a la demanda de la referencia. Los ciudadanos Héctor Riveros Serrato</w:t>
      </w:r>
      <w:r w:rsidRPr="00862128">
        <w:rPr>
          <w:rStyle w:val="Refdenotaalpie"/>
          <w:rFonts w:ascii="Times New Roman" w:hAnsi="Times New Roman"/>
          <w:sz w:val="28"/>
          <w:szCs w:val="28"/>
        </w:rPr>
        <w:footnoteReference w:id="62"/>
      </w:r>
      <w:r w:rsidRPr="00862128">
        <w:rPr>
          <w:rFonts w:ascii="Times New Roman" w:hAnsi="Times New Roman"/>
          <w:sz w:val="28"/>
          <w:szCs w:val="28"/>
          <w:lang w:val="es-ES_tradnl"/>
        </w:rPr>
        <w:t xml:space="preserve"> y Alejandro</w:t>
      </w:r>
      <w:r w:rsidRPr="00862128">
        <w:rPr>
          <w:rFonts w:ascii="Times New Roman" w:hAnsi="Times New Roman"/>
          <w:sz w:val="28"/>
          <w:szCs w:val="28"/>
        </w:rPr>
        <w:t xml:space="preserve"> Rodríguez Zárate</w:t>
      </w:r>
      <w:r w:rsidRPr="00862128">
        <w:rPr>
          <w:rStyle w:val="Refdenotaalpie"/>
          <w:rFonts w:ascii="Times New Roman" w:hAnsi="Times New Roman"/>
          <w:sz w:val="28"/>
          <w:szCs w:val="28"/>
        </w:rPr>
        <w:footnoteReference w:id="63"/>
      </w:r>
      <w:r w:rsidRPr="00862128">
        <w:rPr>
          <w:rFonts w:ascii="Times New Roman" w:hAnsi="Times New Roman"/>
          <w:sz w:val="28"/>
          <w:szCs w:val="28"/>
        </w:rPr>
        <w:t xml:space="preserve"> </w:t>
      </w:r>
      <w:r w:rsidRPr="00862128">
        <w:rPr>
          <w:rFonts w:ascii="Times New Roman" w:hAnsi="Times New Roman"/>
          <w:sz w:val="28"/>
          <w:szCs w:val="28"/>
          <w:lang w:val="es-ES_tradnl"/>
        </w:rPr>
        <w:t xml:space="preserve">elevaron dicha petición a título principal, mientras que las siguientes </w:t>
      </w:r>
      <w:r w:rsidRPr="00862128">
        <w:rPr>
          <w:rFonts w:ascii="Times New Roman" w:hAnsi="Times New Roman"/>
          <w:sz w:val="28"/>
          <w:szCs w:val="28"/>
          <w:lang w:val="es-ES_tradnl"/>
        </w:rPr>
        <w:t xml:space="preserve">organizaciones y </w:t>
      </w:r>
      <w:r w:rsidRPr="00862128">
        <w:rPr>
          <w:rFonts w:ascii="Times New Roman" w:hAnsi="Times New Roman"/>
          <w:sz w:val="28"/>
          <w:szCs w:val="28"/>
          <w:lang w:val="es-ES_tradnl"/>
        </w:rPr>
        <w:t xml:space="preserve">personas lo hicieron de forma subsidiaria: </w:t>
      </w:r>
      <w:r w:rsidRPr="00862128">
        <w:rPr>
          <w:rFonts w:ascii="Times New Roman" w:hAnsi="Times New Roman"/>
          <w:sz w:val="28"/>
          <w:szCs w:val="28"/>
        </w:rPr>
        <w:t xml:space="preserve">Asociación </w:t>
      </w:r>
      <w:r w:rsidRPr="00862128">
        <w:rPr>
          <w:rFonts w:ascii="Times New Roman" w:hAnsi="Times New Roman"/>
          <w:sz w:val="28"/>
          <w:szCs w:val="28"/>
        </w:rPr>
        <w:t>Colombiana de Empresas de Tecnología e Innovación Financiera (Colombia Fintech)</w:t>
      </w:r>
      <w:r w:rsidRPr="00862128">
        <w:rPr>
          <w:rStyle w:val="Refdenotaalpie"/>
          <w:rFonts w:ascii="Times New Roman" w:hAnsi="Times New Roman"/>
          <w:sz w:val="28"/>
          <w:szCs w:val="28"/>
        </w:rPr>
        <w:footnoteReference w:id="64"/>
      </w:r>
      <w:r w:rsidRPr="00862128">
        <w:rPr>
          <w:rFonts w:ascii="Times New Roman" w:hAnsi="Times New Roman"/>
          <w:sz w:val="28"/>
          <w:szCs w:val="28"/>
        </w:rPr>
        <w:t xml:space="preserve">, </w:t>
      </w:r>
      <w:r w:rsidRPr="00862128">
        <w:rPr>
          <w:rFonts w:ascii="Times New Roman" w:hAnsi="Times New Roman"/>
          <w:sz w:val="28"/>
          <w:szCs w:val="28"/>
        </w:rPr>
        <w:t>Marcel Tangarife Torres y Andrea Sánchez Calvo</w:t>
      </w:r>
      <w:r w:rsidRPr="00862128">
        <w:rPr>
          <w:rStyle w:val="Refdenotaalpie"/>
          <w:rFonts w:ascii="Times New Roman" w:hAnsi="Times New Roman"/>
          <w:sz w:val="28"/>
          <w:szCs w:val="28"/>
        </w:rPr>
        <w:footnoteReference w:id="65"/>
      </w:r>
      <w:r w:rsidRPr="00862128">
        <w:rPr>
          <w:rFonts w:ascii="Times New Roman" w:hAnsi="Times New Roman"/>
          <w:sz w:val="28"/>
          <w:szCs w:val="28"/>
        </w:rPr>
        <w:t xml:space="preserve">. </w:t>
      </w:r>
    </w:p>
    <w:p w:rsidR="009B4CA3" w:rsidRPr="00862128" w:rsidRDefault="00862128" w:rsidP="009B4CA3">
      <w:pPr>
        <w:pStyle w:val="Prrafodelista"/>
        <w:rPr>
          <w:rFonts w:ascii="Times New Roman" w:hAnsi="Times New Roman"/>
          <w:sz w:val="28"/>
          <w:szCs w:val="28"/>
          <w:lang w:val="es-ES_tradnl"/>
        </w:rPr>
      </w:pPr>
    </w:p>
    <w:p w:rsidR="002E7367" w:rsidRPr="00862128" w:rsidRDefault="00862128" w:rsidP="009B4CA3">
      <w:pPr>
        <w:pStyle w:val="Prrafodelista"/>
        <w:numPr>
          <w:ilvl w:val="0"/>
          <w:numId w:val="4"/>
        </w:numPr>
        <w:tabs>
          <w:tab w:val="left" w:pos="567"/>
        </w:tabs>
        <w:ind w:left="0" w:firstLine="0"/>
        <w:jc w:val="both"/>
        <w:rPr>
          <w:rFonts w:ascii="Times New Roman" w:hAnsi="Times New Roman"/>
          <w:sz w:val="28"/>
          <w:szCs w:val="28"/>
          <w:lang w:val="es-ES"/>
        </w:rPr>
      </w:pPr>
      <w:r w:rsidRPr="00862128">
        <w:rPr>
          <w:rFonts w:ascii="Times New Roman" w:hAnsi="Times New Roman"/>
          <w:sz w:val="28"/>
          <w:szCs w:val="28"/>
          <w:lang w:val="es-ES_tradnl"/>
        </w:rPr>
        <w:t>Dado lo anterior, la Sala Plena verificar</w:t>
      </w:r>
      <w:r w:rsidRPr="00862128">
        <w:rPr>
          <w:rFonts w:ascii="Times New Roman" w:hAnsi="Times New Roman"/>
          <w:sz w:val="28"/>
          <w:szCs w:val="28"/>
          <w:lang w:val="es-ES_tradnl"/>
        </w:rPr>
        <w:t>á</w:t>
      </w:r>
      <w:r w:rsidRPr="00862128">
        <w:rPr>
          <w:rFonts w:ascii="Times New Roman" w:hAnsi="Times New Roman"/>
          <w:sz w:val="28"/>
          <w:szCs w:val="28"/>
          <w:lang w:val="es-ES_tradnl"/>
        </w:rPr>
        <w:t xml:space="preserve"> la aptitud de la demanda.</w:t>
      </w:r>
      <w:r w:rsidRPr="00862128">
        <w:rPr>
          <w:rFonts w:ascii="Times New Roman" w:hAnsi="Times New Roman"/>
          <w:sz w:val="28"/>
          <w:szCs w:val="28"/>
          <w:lang w:val="es-ES"/>
        </w:rPr>
        <w:t xml:space="preserve"> </w:t>
      </w:r>
      <w:r w:rsidRPr="00862128">
        <w:rPr>
          <w:rFonts w:ascii="Times New Roman" w:hAnsi="Times New Roman"/>
          <w:sz w:val="28"/>
          <w:szCs w:val="28"/>
        </w:rPr>
        <w:t>Esta verificación corresponde, en principio, a una val</w:t>
      </w:r>
      <w:r w:rsidRPr="00862128">
        <w:rPr>
          <w:rFonts w:ascii="Times New Roman" w:hAnsi="Times New Roman"/>
          <w:sz w:val="28"/>
          <w:szCs w:val="28"/>
        </w:rPr>
        <w:t>oración que se realiza en la etapa de admisión de la demanda y está a cargo del despacho sustanciador. Sin embargo, también puede ser efectuada por la Sala Plena al momento de proferir el fallo</w:t>
      </w:r>
      <w:r w:rsidRPr="00862128">
        <w:rPr>
          <w:rStyle w:val="Refdenotaalpie"/>
          <w:rFonts w:ascii="Times New Roman" w:hAnsi="Times New Roman"/>
          <w:sz w:val="28"/>
          <w:szCs w:val="28"/>
        </w:rPr>
        <w:footnoteReference w:id="66"/>
      </w:r>
      <w:r w:rsidRPr="00862128">
        <w:rPr>
          <w:rFonts w:ascii="Times New Roman" w:hAnsi="Times New Roman"/>
          <w:sz w:val="28"/>
          <w:szCs w:val="28"/>
        </w:rPr>
        <w:t>, ya sea a solicitud de alguno de los intervinientes o del Pro</w:t>
      </w:r>
      <w:r w:rsidRPr="00862128">
        <w:rPr>
          <w:rFonts w:ascii="Times New Roman" w:hAnsi="Times New Roman"/>
          <w:sz w:val="28"/>
          <w:szCs w:val="28"/>
        </w:rPr>
        <w:t>curador General de la Nación, o incluso de oficio.</w:t>
      </w:r>
    </w:p>
    <w:p w:rsidR="00101D29" w:rsidRPr="00862128" w:rsidRDefault="00862128" w:rsidP="00FB3BF4">
      <w:pPr>
        <w:pStyle w:val="Prrafodelista"/>
        <w:jc w:val="both"/>
        <w:rPr>
          <w:rFonts w:ascii="Times New Roman" w:hAnsi="Times New Roman"/>
          <w:sz w:val="28"/>
          <w:szCs w:val="28"/>
        </w:rPr>
      </w:pPr>
    </w:p>
    <w:p w:rsidR="002E7367" w:rsidRPr="00862128" w:rsidRDefault="00862128" w:rsidP="00FB3BF4">
      <w:pPr>
        <w:pStyle w:val="Prrafodelista"/>
        <w:numPr>
          <w:ilvl w:val="0"/>
          <w:numId w:val="4"/>
        </w:numPr>
        <w:ind w:left="0" w:firstLine="0"/>
        <w:jc w:val="both"/>
        <w:rPr>
          <w:rFonts w:ascii="Times New Roman" w:hAnsi="Times New Roman"/>
          <w:sz w:val="28"/>
          <w:szCs w:val="28"/>
        </w:rPr>
      </w:pPr>
      <w:r w:rsidRPr="00862128">
        <w:rPr>
          <w:rFonts w:ascii="Times New Roman" w:hAnsi="Times New Roman"/>
          <w:sz w:val="28"/>
          <w:szCs w:val="28"/>
        </w:rPr>
        <w:t>En efecto, las intervenciones procesales</w:t>
      </w:r>
      <w:r w:rsidRPr="00862128">
        <w:rPr>
          <w:rFonts w:ascii="Times New Roman" w:hAnsi="Times New Roman"/>
          <w:sz w:val="28"/>
          <w:szCs w:val="28"/>
        </w:rPr>
        <w:t xml:space="preserve"> no son las únicas</w:t>
      </w:r>
      <w:r w:rsidRPr="00862128">
        <w:rPr>
          <w:rFonts w:ascii="Times New Roman" w:hAnsi="Times New Roman"/>
          <w:sz w:val="28"/>
          <w:szCs w:val="28"/>
        </w:rPr>
        <w:t xml:space="preserve"> que habilitan a la Corte Constitucional para pronunciarse sobre la aptitud de la demanda, puesto que la Sala Plena conserva siempre dicha atribución. Ello obedece a que es la autoridad competente para dictar la decisión definitiva y</w:t>
      </w:r>
      <w:r w:rsidRPr="00862128">
        <w:rPr>
          <w:rFonts w:ascii="Times New Roman" w:hAnsi="Times New Roman"/>
          <w:sz w:val="28"/>
          <w:szCs w:val="28"/>
        </w:rPr>
        <w:t>,</w:t>
      </w:r>
      <w:r w:rsidRPr="00862128">
        <w:rPr>
          <w:rFonts w:ascii="Times New Roman" w:hAnsi="Times New Roman"/>
          <w:sz w:val="28"/>
          <w:szCs w:val="28"/>
        </w:rPr>
        <w:t xml:space="preserve"> porque la evaluación </w:t>
      </w:r>
      <w:r w:rsidRPr="00862128">
        <w:rPr>
          <w:rFonts w:ascii="Times New Roman" w:hAnsi="Times New Roman"/>
          <w:sz w:val="28"/>
          <w:szCs w:val="28"/>
        </w:rPr>
        <w:t>de la aptitud sustantiva de la demanda hace parte de la competencia funcional del juez constitucional para adelantar el juicio de constitucionalidad (artículo 241 de la Constitución Política y Decreto 2067 de 1991). En consecuencia, dicha valoración es pre</w:t>
      </w:r>
      <w:r w:rsidRPr="00862128">
        <w:rPr>
          <w:rFonts w:ascii="Times New Roman" w:hAnsi="Times New Roman"/>
          <w:sz w:val="28"/>
          <w:szCs w:val="28"/>
        </w:rPr>
        <w:t>supuesto necesario tanto para emitir un fallo de mérito como para dictar una decisión inhibitoria.</w:t>
      </w:r>
    </w:p>
    <w:p w:rsidR="002D6EFF" w:rsidRPr="00862128" w:rsidRDefault="00862128" w:rsidP="00FB3BF4">
      <w:pPr>
        <w:jc w:val="both"/>
        <w:rPr>
          <w:rFonts w:ascii="Times New Roman" w:hAnsi="Times New Roman"/>
          <w:sz w:val="28"/>
          <w:szCs w:val="28"/>
        </w:rPr>
      </w:pPr>
    </w:p>
    <w:p w:rsidR="00A2421A" w:rsidRPr="00862128" w:rsidRDefault="00862128" w:rsidP="00FB3BF4">
      <w:pPr>
        <w:pStyle w:val="Prrafodelista"/>
        <w:numPr>
          <w:ilvl w:val="0"/>
          <w:numId w:val="4"/>
        </w:numPr>
        <w:ind w:left="0" w:firstLine="0"/>
        <w:jc w:val="both"/>
        <w:rPr>
          <w:rFonts w:ascii="Times New Roman" w:hAnsi="Times New Roman"/>
          <w:sz w:val="28"/>
          <w:szCs w:val="28"/>
        </w:rPr>
      </w:pPr>
      <w:r w:rsidRPr="00862128">
        <w:rPr>
          <w:rFonts w:ascii="Times New Roman" w:hAnsi="Times New Roman"/>
          <w:sz w:val="28"/>
          <w:szCs w:val="28"/>
        </w:rPr>
        <w:t>Lo anterior implica que el análisis efectuado en la etapa inicial</w:t>
      </w:r>
      <w:r w:rsidRPr="00862128">
        <w:rPr>
          <w:rFonts w:ascii="Times New Roman" w:hAnsi="Times New Roman"/>
          <w:sz w:val="28"/>
          <w:szCs w:val="28"/>
        </w:rPr>
        <w:t>, de admisibilidad,</w:t>
      </w:r>
      <w:r w:rsidRPr="00862128">
        <w:rPr>
          <w:rFonts w:ascii="Times New Roman" w:hAnsi="Times New Roman"/>
          <w:sz w:val="28"/>
          <w:szCs w:val="28"/>
        </w:rPr>
        <w:t xml:space="preserve"> tiene un carácter meramente provisional. En consecuencia, aunque una de</w:t>
      </w:r>
      <w:r w:rsidRPr="00862128">
        <w:rPr>
          <w:rFonts w:ascii="Times New Roman" w:hAnsi="Times New Roman"/>
          <w:sz w:val="28"/>
          <w:szCs w:val="28"/>
        </w:rPr>
        <w:t xml:space="preserve">manda haya superado la fase de admisión, ello no impide que, al momento de proferir la decisión definitiva, la Sala Plena </w:t>
      </w:r>
      <w:r w:rsidRPr="00862128">
        <w:rPr>
          <w:rFonts w:ascii="Times New Roman" w:hAnsi="Times New Roman"/>
          <w:sz w:val="28"/>
          <w:szCs w:val="28"/>
        </w:rPr>
        <w:t>se pronuncie sobre la aptitud de la demanda</w:t>
      </w:r>
      <w:r w:rsidRPr="00862128">
        <w:rPr>
          <w:rFonts w:ascii="Times New Roman" w:hAnsi="Times New Roman"/>
          <w:sz w:val="28"/>
          <w:szCs w:val="28"/>
        </w:rPr>
        <w:t>.</w:t>
      </w:r>
      <w:r w:rsidRPr="00862128">
        <w:rPr>
          <w:rFonts w:ascii="Times New Roman" w:hAnsi="Times New Roman"/>
          <w:sz w:val="28"/>
          <w:szCs w:val="28"/>
        </w:rPr>
        <w:t xml:space="preserve"> </w:t>
      </w:r>
      <w:r w:rsidRPr="00862128">
        <w:rPr>
          <w:rFonts w:ascii="Times New Roman" w:hAnsi="Times New Roman"/>
          <w:sz w:val="28"/>
          <w:szCs w:val="28"/>
        </w:rPr>
        <w:t xml:space="preserve">Ello obedece a que, en algunas ocasiones, el incumplimiento de los requisitos formales o </w:t>
      </w:r>
      <w:r w:rsidRPr="00862128">
        <w:rPr>
          <w:rFonts w:ascii="Times New Roman" w:hAnsi="Times New Roman"/>
          <w:sz w:val="28"/>
          <w:szCs w:val="28"/>
        </w:rPr>
        <w:t>materiales de la acusación no resulta evidente desde un comienzo, o bien existen dudas razonables sobre su cumplimiento, o se prefiere dar trámite a la acción para evitar un exceso de formalismo que limite el ejercicio del derecho ciudadano de acceder a la</w:t>
      </w:r>
      <w:r w:rsidRPr="00862128">
        <w:rPr>
          <w:rFonts w:ascii="Times New Roman" w:hAnsi="Times New Roman"/>
          <w:sz w:val="28"/>
          <w:szCs w:val="28"/>
        </w:rPr>
        <w:t xml:space="preserve"> justicia constitucional.</w:t>
      </w:r>
    </w:p>
    <w:p w:rsidR="00A2421A" w:rsidRPr="00862128" w:rsidRDefault="00862128" w:rsidP="00FB3BF4">
      <w:pPr>
        <w:jc w:val="both"/>
        <w:rPr>
          <w:rFonts w:ascii="Times New Roman" w:hAnsi="Times New Roman"/>
          <w:sz w:val="28"/>
          <w:szCs w:val="28"/>
        </w:rPr>
      </w:pPr>
    </w:p>
    <w:p w:rsidR="007D2F53" w:rsidRPr="00862128" w:rsidRDefault="00862128" w:rsidP="00740EEE">
      <w:pPr>
        <w:pStyle w:val="Normal0"/>
        <w:numPr>
          <w:ilvl w:val="0"/>
          <w:numId w:val="4"/>
        </w:numPr>
        <w:tabs>
          <w:tab w:val="left" w:pos="709"/>
        </w:tabs>
        <w:ind w:left="0" w:firstLine="0"/>
        <w:contextualSpacing/>
        <w:rPr>
          <w:color w:val="auto"/>
          <w:lang w:val="es-CO"/>
        </w:rPr>
      </w:pPr>
      <w:r w:rsidRPr="00862128">
        <w:t>En este sentido, la jurisprudencia de la Corte ha diferenciado claramente ambas etapas procesales y ha señalado que la decisión del magistrado ponente sobre la admisión de la demanda no compromete la valoración que, con plena aut</w:t>
      </w:r>
      <w:r w:rsidRPr="00862128">
        <w:t>onomía, puede efectuar la Sala Plena respecto de su aptitud sustantiva. En efecto, a medida que avanza el proceso, y con base en las distintas intervenciones y conceptos que se incorporan al expediente, la Sala cuenta con mayores elementos para realizar un</w:t>
      </w:r>
      <w:r w:rsidRPr="00862128">
        <w:t xml:space="preserve"> análisis más detenido y profundo sobre la suficiencia y claridad de la acusación formulada.</w:t>
      </w:r>
      <w:r w:rsidRPr="00862128">
        <w:t xml:space="preserve"> </w:t>
      </w:r>
      <w:r w:rsidRPr="00862128">
        <w:rPr>
          <w:color w:val="auto"/>
          <w:lang w:val="es-CO"/>
        </w:rPr>
        <w:t xml:space="preserve">Al respecto, este </w:t>
      </w:r>
      <w:r w:rsidRPr="00862128">
        <w:rPr>
          <w:color w:val="auto"/>
          <w:lang w:val="es-CO"/>
        </w:rPr>
        <w:t>T</w:t>
      </w:r>
      <w:r w:rsidRPr="00862128">
        <w:rPr>
          <w:color w:val="auto"/>
          <w:lang w:val="es-CO"/>
        </w:rPr>
        <w:t>ribunal ha dicho que:</w:t>
      </w:r>
    </w:p>
    <w:p w:rsidR="007D2F53" w:rsidRPr="00862128" w:rsidRDefault="00862128" w:rsidP="007D2F53">
      <w:pPr>
        <w:contextualSpacing/>
        <w:jc w:val="both"/>
        <w:rPr>
          <w:rFonts w:ascii="Times New Roman" w:hAnsi="Times New Roman"/>
          <w:sz w:val="28"/>
          <w:szCs w:val="28"/>
          <w:lang w:eastAsia="es-ES"/>
        </w:rPr>
      </w:pPr>
    </w:p>
    <w:p w:rsidR="007D2F53" w:rsidRPr="00862128" w:rsidRDefault="00862128" w:rsidP="00740EEE">
      <w:pPr>
        <w:ind w:left="567" w:right="49"/>
        <w:contextualSpacing/>
        <w:jc w:val="both"/>
        <w:rPr>
          <w:rFonts w:ascii="Times New Roman" w:hAnsi="Times New Roman"/>
          <w:sz w:val="28"/>
          <w:szCs w:val="28"/>
          <w:lang w:eastAsia="es-ES"/>
        </w:rPr>
      </w:pPr>
      <w:r w:rsidRPr="00862128">
        <w:rPr>
          <w:rFonts w:ascii="Times New Roman" w:hAnsi="Times New Roman"/>
          <w:sz w:val="28"/>
          <w:szCs w:val="28"/>
          <w:lang w:eastAsia="es-ES"/>
        </w:rPr>
        <w:t>“Aun cuando en principio, es en el auto admisorio donde se define si la demanda cumple o no con los requisitos mínimos de</w:t>
      </w:r>
      <w:r w:rsidRPr="00862128">
        <w:rPr>
          <w:rFonts w:ascii="Times New Roman" w:hAnsi="Times New Roman"/>
          <w:sz w:val="28"/>
          <w:szCs w:val="28"/>
          <w:lang w:eastAsia="es-ES"/>
        </w:rPr>
        <w:t xml:space="preserve"> procedibilidad, ese primer análisis responde a una valoración apenas sumaria de la acción, llevada a cabo únicamente por cuenta del magistrado ponente, razón por la cual, la misma no compromete ni define la competencia del Pleno de la Corte, que es en qui</w:t>
      </w:r>
      <w:r w:rsidRPr="00862128">
        <w:rPr>
          <w:rFonts w:ascii="Times New Roman" w:hAnsi="Times New Roman"/>
          <w:sz w:val="28"/>
          <w:szCs w:val="28"/>
          <w:lang w:eastAsia="es-ES"/>
        </w:rPr>
        <w:t>en reside la función constitucional de decidir de fondo sobre las demandas de inconstitucionalidad”</w:t>
      </w:r>
      <w:r w:rsidRPr="00862128">
        <w:rPr>
          <w:rFonts w:ascii="Times New Roman" w:hAnsi="Times New Roman"/>
          <w:sz w:val="28"/>
          <w:szCs w:val="28"/>
          <w:vertAlign w:val="superscript"/>
          <w:lang w:eastAsia="es-ES"/>
        </w:rPr>
        <w:footnoteReference w:id="67"/>
      </w:r>
      <w:r w:rsidRPr="00862128">
        <w:rPr>
          <w:rFonts w:ascii="Times New Roman" w:hAnsi="Times New Roman"/>
          <w:sz w:val="28"/>
          <w:szCs w:val="28"/>
          <w:lang w:eastAsia="es-ES"/>
        </w:rPr>
        <w:t>.</w:t>
      </w:r>
    </w:p>
    <w:p w:rsidR="0084662E" w:rsidRPr="00862128" w:rsidRDefault="00862128" w:rsidP="0084662E">
      <w:pPr>
        <w:jc w:val="both"/>
        <w:rPr>
          <w:rFonts w:ascii="Times New Roman" w:hAnsi="Times New Roman"/>
          <w:sz w:val="28"/>
          <w:szCs w:val="28"/>
        </w:rPr>
      </w:pPr>
    </w:p>
    <w:p w:rsidR="008C0976" w:rsidRPr="00862128" w:rsidRDefault="00862128" w:rsidP="00FB3BF4">
      <w:pPr>
        <w:pStyle w:val="Prrafodelista"/>
        <w:numPr>
          <w:ilvl w:val="0"/>
          <w:numId w:val="4"/>
        </w:numPr>
        <w:ind w:left="0" w:firstLine="0"/>
        <w:jc w:val="both"/>
        <w:rPr>
          <w:rFonts w:ascii="Times New Roman" w:hAnsi="Times New Roman"/>
          <w:sz w:val="28"/>
          <w:szCs w:val="28"/>
        </w:rPr>
      </w:pPr>
      <w:r w:rsidRPr="00862128">
        <w:rPr>
          <w:rFonts w:ascii="Times New Roman" w:hAnsi="Times New Roman"/>
          <w:sz w:val="28"/>
          <w:szCs w:val="28"/>
        </w:rPr>
        <w:t xml:space="preserve">En </w:t>
      </w:r>
      <w:r w:rsidRPr="00862128">
        <w:rPr>
          <w:rFonts w:ascii="Times New Roman" w:hAnsi="Times New Roman"/>
          <w:sz w:val="28"/>
          <w:szCs w:val="28"/>
        </w:rPr>
        <w:t xml:space="preserve">los siguientes términos la </w:t>
      </w:r>
      <w:r w:rsidRPr="00862128">
        <w:rPr>
          <w:rFonts w:ascii="Times New Roman" w:hAnsi="Times New Roman"/>
          <w:sz w:val="28"/>
          <w:szCs w:val="28"/>
        </w:rPr>
        <w:t>Corte</w:t>
      </w:r>
      <w:r w:rsidRPr="00862128">
        <w:rPr>
          <w:rFonts w:ascii="Times New Roman" w:hAnsi="Times New Roman"/>
          <w:sz w:val="28"/>
          <w:szCs w:val="28"/>
        </w:rPr>
        <w:t xml:space="preserve"> ha destacado la facultad de la Sala Plena para efectuar un examen de </w:t>
      </w:r>
      <w:r w:rsidRPr="00862128">
        <w:rPr>
          <w:rFonts w:ascii="Times New Roman" w:hAnsi="Times New Roman"/>
          <w:sz w:val="28"/>
          <w:szCs w:val="28"/>
        </w:rPr>
        <w:t xml:space="preserve">los requisitos de </w:t>
      </w:r>
      <w:r w:rsidRPr="00862128">
        <w:rPr>
          <w:rFonts w:ascii="Times New Roman" w:hAnsi="Times New Roman"/>
          <w:sz w:val="28"/>
          <w:szCs w:val="28"/>
        </w:rPr>
        <w:t>la aptitud de la demanda:</w:t>
      </w:r>
    </w:p>
    <w:p w:rsidR="008C0976" w:rsidRPr="00862128" w:rsidRDefault="00862128" w:rsidP="0084662E">
      <w:pPr>
        <w:jc w:val="both"/>
        <w:rPr>
          <w:rFonts w:ascii="Times New Roman" w:hAnsi="Times New Roman"/>
          <w:sz w:val="28"/>
          <w:szCs w:val="28"/>
        </w:rPr>
      </w:pPr>
    </w:p>
    <w:p w:rsidR="00B74F30" w:rsidRPr="00862128" w:rsidRDefault="00862128" w:rsidP="00740EEE">
      <w:pPr>
        <w:ind w:left="567" w:right="49"/>
        <w:contextualSpacing/>
        <w:jc w:val="both"/>
        <w:rPr>
          <w:rFonts w:ascii="Times New Roman" w:hAnsi="Times New Roman"/>
          <w:i/>
          <w:iCs/>
          <w:sz w:val="28"/>
          <w:szCs w:val="28"/>
          <w:lang w:eastAsia="es-ES"/>
        </w:rPr>
      </w:pPr>
      <w:r w:rsidRPr="00862128">
        <w:rPr>
          <w:rFonts w:ascii="Times New Roman" w:hAnsi="Times New Roman"/>
          <w:sz w:val="28"/>
          <w:szCs w:val="28"/>
          <w:lang w:eastAsia="es-ES"/>
        </w:rPr>
        <w:t>“[S</w:t>
      </w:r>
      <w:r w:rsidRPr="00862128">
        <w:rPr>
          <w:rFonts w:ascii="Times New Roman" w:hAnsi="Times New Roman"/>
          <w:sz w:val="28"/>
          <w:szCs w:val="28"/>
          <w:lang w:eastAsia="es-ES"/>
        </w:rPr>
        <w:t>i] bien el momento procesal ideal para pronunciarse sobre la inexistencia de cargos de inconstitucionalidad es la etapa en la que se decide sobre la admisibilidad de la demanda, por resultar más acorde con la garantía de la expectativa que tienen los ciuda</w:t>
      </w:r>
      <w:r w:rsidRPr="00862128">
        <w:rPr>
          <w:rFonts w:ascii="Times New Roman" w:hAnsi="Times New Roman"/>
          <w:sz w:val="28"/>
          <w:szCs w:val="28"/>
          <w:lang w:eastAsia="es-ES"/>
        </w:rPr>
        <w:t>danos de recibir un pronunciamiento de fondo sobre la constitucionalidad de las disposiciones demandadas por ellos, esta decisión también puede adoptarse al momento de proferir un fallo, pues es en esta etapa procesal en la que la Corte analiza con mayor d</w:t>
      </w:r>
      <w:r w:rsidRPr="00862128">
        <w:rPr>
          <w:rFonts w:ascii="Times New Roman" w:hAnsi="Times New Roman"/>
          <w:sz w:val="28"/>
          <w:szCs w:val="28"/>
          <w:lang w:eastAsia="es-ES"/>
        </w:rPr>
        <w:t>etenimiento y profundidad las acusaciones presentadas por los ciudadanos en las demandas de inconstitucionalidad”</w:t>
      </w:r>
      <w:r w:rsidRPr="00862128">
        <w:rPr>
          <w:rFonts w:ascii="Times New Roman" w:hAnsi="Times New Roman"/>
          <w:sz w:val="28"/>
          <w:szCs w:val="28"/>
          <w:vertAlign w:val="superscript"/>
          <w:lang w:eastAsia="es-ES"/>
        </w:rPr>
        <w:footnoteReference w:id="68"/>
      </w:r>
      <w:r w:rsidRPr="00862128">
        <w:rPr>
          <w:rFonts w:ascii="Times New Roman" w:hAnsi="Times New Roman"/>
          <w:sz w:val="28"/>
          <w:szCs w:val="28"/>
          <w:lang w:eastAsia="es-ES"/>
        </w:rPr>
        <w:t>.</w:t>
      </w:r>
      <w:r w:rsidRPr="00862128">
        <w:rPr>
          <w:rFonts w:ascii="Times New Roman" w:hAnsi="Times New Roman"/>
          <w:i/>
          <w:iCs/>
          <w:sz w:val="28"/>
          <w:szCs w:val="28"/>
          <w:lang w:eastAsia="es-ES"/>
        </w:rPr>
        <w:t xml:space="preserve"> </w:t>
      </w:r>
    </w:p>
    <w:p w:rsidR="00B74F30" w:rsidRPr="00862128" w:rsidRDefault="00862128" w:rsidP="0084662E">
      <w:pPr>
        <w:jc w:val="both"/>
        <w:rPr>
          <w:rFonts w:ascii="Times New Roman" w:hAnsi="Times New Roman"/>
          <w:sz w:val="28"/>
          <w:szCs w:val="28"/>
        </w:rPr>
      </w:pPr>
    </w:p>
    <w:p w:rsidR="0072737F" w:rsidRPr="00862128" w:rsidRDefault="00862128" w:rsidP="00740EEE">
      <w:pPr>
        <w:pStyle w:val="Prrafodelista"/>
        <w:numPr>
          <w:ilvl w:val="0"/>
          <w:numId w:val="4"/>
        </w:numPr>
        <w:ind w:left="0" w:hanging="11"/>
        <w:jc w:val="both"/>
        <w:rPr>
          <w:rFonts w:ascii="Times New Roman" w:hAnsi="Times New Roman"/>
          <w:sz w:val="28"/>
        </w:rPr>
      </w:pPr>
      <w:r w:rsidRPr="00862128">
        <w:rPr>
          <w:rFonts w:ascii="Times New Roman" w:hAnsi="Times New Roman"/>
          <w:sz w:val="28"/>
          <w:szCs w:val="28"/>
        </w:rPr>
        <w:t xml:space="preserve">Lo anterior se sustenta en la reiterada jurisprudencia de esta Corporación, según la cual la admisión de una demanda no constituye una </w:t>
      </w:r>
      <w:r w:rsidRPr="00862128">
        <w:rPr>
          <w:rFonts w:ascii="Times New Roman" w:hAnsi="Times New Roman"/>
          <w:sz w:val="28"/>
          <w:szCs w:val="28"/>
        </w:rPr>
        <w:t>convalidación definitiva de su aptitud sustantiva, toda vez que dicha evaluación puede ser objeto de un examen más estricto en la etapa de decisión. La Corte ha precisado que la admisión cumple una finalidad meramente instrumental, dirigida a permitir el i</w:t>
      </w:r>
      <w:r w:rsidRPr="00862128">
        <w:rPr>
          <w:rFonts w:ascii="Times New Roman" w:hAnsi="Times New Roman"/>
          <w:sz w:val="28"/>
          <w:szCs w:val="28"/>
        </w:rPr>
        <w:t>nicio del juicio de constitucionalidad, pero no restringe la competencia de la Sala Plena para valorar, con mayor rigor, la suficiencia, claridad, pertinencia y especificidad de los cargos antes de adoptar una decisión de fondo o, en su caso, emitir un fal</w:t>
      </w:r>
      <w:r w:rsidRPr="00862128">
        <w:rPr>
          <w:rFonts w:ascii="Times New Roman" w:hAnsi="Times New Roman"/>
          <w:sz w:val="28"/>
          <w:szCs w:val="28"/>
        </w:rPr>
        <w:t>lo inhibitorio</w:t>
      </w:r>
      <w:r w:rsidRPr="00862128">
        <w:rPr>
          <w:rStyle w:val="Refdenotaalpie"/>
          <w:rFonts w:ascii="Times New Roman" w:hAnsi="Times New Roman"/>
          <w:sz w:val="28"/>
          <w:szCs w:val="28"/>
        </w:rPr>
        <w:footnoteReference w:id="69"/>
      </w:r>
      <w:r w:rsidRPr="00862128">
        <w:rPr>
          <w:rFonts w:ascii="Times New Roman" w:hAnsi="Times New Roman"/>
          <w:sz w:val="28"/>
          <w:szCs w:val="28"/>
        </w:rPr>
        <w:t>.</w:t>
      </w:r>
    </w:p>
    <w:p w:rsidR="00F2404A" w:rsidRPr="00862128" w:rsidRDefault="00862128" w:rsidP="00740EEE">
      <w:pPr>
        <w:pStyle w:val="Ttulo3"/>
        <w:spacing w:before="0" w:after="0"/>
        <w:rPr>
          <w:rFonts w:ascii="Times New Roman" w:hAnsi="Times New Roman"/>
          <w:lang w:val="es-ES_tradnl"/>
        </w:rPr>
      </w:pPr>
    </w:p>
    <w:p w:rsidR="00BE23D9" w:rsidRPr="00862128" w:rsidRDefault="00862128" w:rsidP="00BE5143">
      <w:pPr>
        <w:pStyle w:val="Prrafodelista"/>
        <w:numPr>
          <w:ilvl w:val="0"/>
          <w:numId w:val="4"/>
        </w:numPr>
        <w:ind w:left="0" w:firstLine="0"/>
        <w:jc w:val="both"/>
        <w:rPr>
          <w:rFonts w:ascii="Times New Roman" w:hAnsi="Times New Roman"/>
          <w:sz w:val="28"/>
          <w:szCs w:val="28"/>
          <w:lang w:val="es-ES"/>
        </w:rPr>
      </w:pPr>
      <w:r w:rsidRPr="00862128">
        <w:rPr>
          <w:rFonts w:ascii="Times New Roman" w:hAnsi="Times New Roman"/>
          <w:sz w:val="28"/>
          <w:szCs w:val="28"/>
          <w:lang w:val="es-ES_tradnl"/>
        </w:rPr>
        <w:t>Ahora bien, c</w:t>
      </w:r>
      <w:r w:rsidRPr="00862128">
        <w:rPr>
          <w:rFonts w:ascii="Times New Roman" w:hAnsi="Times New Roman"/>
          <w:sz w:val="28"/>
          <w:szCs w:val="28"/>
          <w:lang w:val="es-ES_tradnl"/>
        </w:rPr>
        <w:t>orresponde a la Sala inicialmente pronunciarse sobre el cumplimiento de los requisitos de la demanda de inconstitucionalidad porque</w:t>
      </w:r>
      <w:r w:rsidRPr="00862128">
        <w:rPr>
          <w:rFonts w:ascii="Times New Roman" w:hAnsi="Times New Roman"/>
          <w:sz w:val="28"/>
          <w:szCs w:val="28"/>
          <w:lang w:val="es-ES_tradnl"/>
        </w:rPr>
        <w:t>, como se señaló,</w:t>
      </w:r>
      <w:r w:rsidRPr="00862128">
        <w:rPr>
          <w:rFonts w:ascii="Times New Roman" w:hAnsi="Times New Roman"/>
          <w:sz w:val="28"/>
          <w:szCs w:val="28"/>
          <w:lang w:val="es-ES_tradnl"/>
        </w:rPr>
        <w:t xml:space="preserve"> con posterioridad a la admisión de esta algunos intervinientes</w:t>
      </w:r>
      <w:r w:rsidRPr="00862128">
        <w:rPr>
          <w:rFonts w:ascii="Times New Roman" w:hAnsi="Times New Roman"/>
          <w:sz w:val="28"/>
          <w:szCs w:val="28"/>
          <w:lang w:val="es-ES_tradnl"/>
        </w:rPr>
        <w:t xml:space="preserve"> plantearon reparos sobre esta cuestión. Aunque la demanda</w:t>
      </w:r>
      <w:r w:rsidRPr="00862128">
        <w:rPr>
          <w:rFonts w:ascii="Times New Roman" w:hAnsi="Times New Roman"/>
          <w:sz w:val="28"/>
          <w:szCs w:val="28"/>
          <w:lang w:val="es-ES"/>
        </w:rPr>
        <w:t xml:space="preserve"> fue admitida, esto no impide a la Sala Plena examinar nuevamente el cumplimiento de dicha exigencia en la sentencia, porque en las intervenciones ciudadanas posteriores al auto de admisión surgiero</w:t>
      </w:r>
      <w:r w:rsidRPr="00862128">
        <w:rPr>
          <w:rFonts w:ascii="Times New Roman" w:hAnsi="Times New Roman"/>
          <w:sz w:val="28"/>
          <w:szCs w:val="28"/>
          <w:lang w:val="es-ES"/>
        </w:rPr>
        <w:t>n cuestionamientos sobre la aptitud de la demanda. Esas intervenciones, “pueden aportarle a la Sala Plena elementos de juicio sobre los presupuestos de aptitud sustantiva de la demanda, los cuales son indispensables para que la Corte pueda emitir un pronun</w:t>
      </w:r>
      <w:r w:rsidRPr="00862128">
        <w:rPr>
          <w:rFonts w:ascii="Times New Roman" w:hAnsi="Times New Roman"/>
          <w:sz w:val="28"/>
          <w:szCs w:val="28"/>
          <w:lang w:val="es-ES"/>
        </w:rPr>
        <w:t>ciamiento de fondo</w:t>
      </w:r>
      <w:r w:rsidRPr="00862128">
        <w:rPr>
          <w:rFonts w:ascii="Times New Roman" w:hAnsi="Times New Roman"/>
          <w:sz w:val="28"/>
          <w:szCs w:val="28"/>
          <w:lang w:val="es-ES"/>
        </w:rPr>
        <w:t>.</w:t>
      </w:r>
      <w:r w:rsidRPr="00862128">
        <w:rPr>
          <w:rFonts w:ascii="Times New Roman" w:hAnsi="Times New Roman"/>
          <w:sz w:val="28"/>
          <w:szCs w:val="28"/>
          <w:vertAlign w:val="superscript"/>
          <w:lang w:val="es-ES"/>
        </w:rPr>
        <w:t>”</w:t>
      </w:r>
      <w:r w:rsidRPr="00862128">
        <w:rPr>
          <w:rStyle w:val="Refdenotaalpie"/>
          <w:rFonts w:ascii="Times New Roman" w:hAnsi="Times New Roman"/>
          <w:sz w:val="28"/>
          <w:szCs w:val="28"/>
          <w:lang w:val="es-ES"/>
        </w:rPr>
        <w:footnoteReference w:id="70"/>
      </w:r>
    </w:p>
    <w:p w:rsidR="00BE23D9" w:rsidRPr="00862128" w:rsidRDefault="00862128" w:rsidP="00BE5143">
      <w:pPr>
        <w:pStyle w:val="Prrafodelista"/>
        <w:jc w:val="both"/>
        <w:rPr>
          <w:rFonts w:ascii="Times New Roman" w:hAnsi="Times New Roman"/>
          <w:sz w:val="28"/>
          <w:szCs w:val="28"/>
          <w:lang w:val="es-ES"/>
        </w:rPr>
      </w:pPr>
    </w:p>
    <w:p w:rsidR="00F2404A" w:rsidRPr="00862128" w:rsidRDefault="00862128" w:rsidP="00BE5143">
      <w:pPr>
        <w:pStyle w:val="Prrafodelista"/>
        <w:numPr>
          <w:ilvl w:val="0"/>
          <w:numId w:val="4"/>
        </w:numPr>
        <w:ind w:left="0" w:hanging="11"/>
        <w:jc w:val="both"/>
        <w:rPr>
          <w:rFonts w:ascii="Times New Roman" w:hAnsi="Times New Roman"/>
          <w:sz w:val="28"/>
          <w:szCs w:val="28"/>
          <w:lang w:val="es-ES"/>
        </w:rPr>
      </w:pPr>
      <w:r w:rsidRPr="00862128">
        <w:rPr>
          <w:rFonts w:ascii="Times New Roman" w:hAnsi="Times New Roman"/>
          <w:sz w:val="28"/>
          <w:szCs w:val="28"/>
          <w:lang w:val="es-ES_tradnl"/>
        </w:rPr>
        <w:t xml:space="preserve">En la sección de intervenciones resumimos las solicitudes principales y subsidiarias para que la Corte se declare inhibida. </w:t>
      </w:r>
      <w:r w:rsidRPr="00862128">
        <w:rPr>
          <w:rFonts w:ascii="Times New Roman" w:hAnsi="Times New Roman"/>
          <w:sz w:val="28"/>
          <w:szCs w:val="28"/>
          <w:lang w:val="es-ES_tradnl"/>
        </w:rPr>
        <w:t xml:space="preserve">A continuación, </w:t>
      </w:r>
      <w:r w:rsidRPr="00862128">
        <w:rPr>
          <w:rFonts w:ascii="Times New Roman" w:hAnsi="Times New Roman"/>
          <w:sz w:val="28"/>
          <w:szCs w:val="28"/>
          <w:lang w:val="es-ES_tradnl"/>
        </w:rPr>
        <w:t>se procederá a analizar los requisitos de procedibilidad de la acción de inconstitucionalidad</w:t>
      </w:r>
      <w:r w:rsidRPr="00862128">
        <w:rPr>
          <w:rFonts w:ascii="Times New Roman" w:hAnsi="Times New Roman"/>
          <w:sz w:val="28"/>
          <w:szCs w:val="28"/>
          <w:lang w:val="es-ES_tradnl"/>
        </w:rPr>
        <w:t>.</w:t>
      </w:r>
      <w:r w:rsidRPr="00862128">
        <w:rPr>
          <w:rFonts w:ascii="Times New Roman" w:hAnsi="Times New Roman"/>
          <w:sz w:val="28"/>
          <w:szCs w:val="28"/>
          <w:lang w:val="es-ES_tradnl"/>
        </w:rPr>
        <w:t xml:space="preserve"> </w:t>
      </w:r>
    </w:p>
    <w:p w:rsidR="00F2404A" w:rsidRPr="00862128" w:rsidRDefault="00862128" w:rsidP="00BE5143">
      <w:pPr>
        <w:rPr>
          <w:rFonts w:ascii="Times New Roman" w:hAnsi="Times New Roman"/>
          <w:sz w:val="28"/>
          <w:szCs w:val="28"/>
          <w:lang w:val="es-ES_tradnl"/>
        </w:rPr>
      </w:pPr>
    </w:p>
    <w:p w:rsidR="00F2404A" w:rsidRPr="00862128" w:rsidRDefault="00862128" w:rsidP="00740EEE">
      <w:pPr>
        <w:pStyle w:val="Ttulo3"/>
        <w:spacing w:before="0" w:after="0"/>
        <w:jc w:val="both"/>
        <w:rPr>
          <w:rFonts w:ascii="Times New Roman" w:hAnsi="Times New Roman"/>
        </w:rPr>
      </w:pPr>
      <w:bookmarkStart w:id="21" w:name="_Toc223713285"/>
      <w:r w:rsidRPr="00862128">
        <w:rPr>
          <w:rFonts w:ascii="Times New Roman" w:hAnsi="Times New Roman"/>
          <w:b/>
          <w:bCs/>
          <w:color w:val="auto"/>
        </w:rPr>
        <w:t>3</w:t>
      </w:r>
      <w:r w:rsidRPr="00862128">
        <w:rPr>
          <w:rFonts w:ascii="Times New Roman" w:hAnsi="Times New Roman"/>
          <w:b/>
          <w:bCs/>
          <w:color w:val="auto"/>
        </w:rPr>
        <w:t>.</w:t>
      </w:r>
      <w:r w:rsidRPr="00862128">
        <w:rPr>
          <w:rFonts w:ascii="Times New Roman" w:hAnsi="Times New Roman"/>
          <w:b/>
          <w:bCs/>
          <w:color w:val="auto"/>
        </w:rPr>
        <w:t>1</w:t>
      </w:r>
      <w:r w:rsidRPr="00862128">
        <w:rPr>
          <w:rFonts w:ascii="Times New Roman" w:hAnsi="Times New Roman"/>
          <w:b/>
          <w:bCs/>
          <w:color w:val="auto"/>
        </w:rPr>
        <w:t xml:space="preserve">. </w:t>
      </w:r>
      <w:r w:rsidRPr="00862128">
        <w:rPr>
          <w:rFonts w:ascii="Times New Roman" w:hAnsi="Times New Roman"/>
          <w:b/>
          <w:bCs/>
          <w:color w:val="auto"/>
        </w:rPr>
        <w:t>Requisitos de procedibilidad de la acción pública de inconstitucionalidad</w:t>
      </w:r>
      <w:bookmarkEnd w:id="21"/>
    </w:p>
    <w:p w:rsidR="00F2404A" w:rsidRPr="00862128" w:rsidRDefault="00862128" w:rsidP="00BE5143">
      <w:pPr>
        <w:tabs>
          <w:tab w:val="left" w:pos="426"/>
        </w:tabs>
        <w:jc w:val="both"/>
        <w:rPr>
          <w:rFonts w:ascii="Times New Roman" w:hAnsi="Times New Roman"/>
          <w:sz w:val="28"/>
          <w:szCs w:val="28"/>
        </w:rPr>
      </w:pPr>
    </w:p>
    <w:p w:rsidR="00C803F4" w:rsidRPr="00862128" w:rsidRDefault="00862128" w:rsidP="00BE5143">
      <w:pPr>
        <w:pStyle w:val="Prrafodelista"/>
        <w:numPr>
          <w:ilvl w:val="0"/>
          <w:numId w:val="4"/>
        </w:numPr>
        <w:tabs>
          <w:tab w:val="left" w:pos="426"/>
        </w:tabs>
        <w:autoSpaceDE w:val="0"/>
        <w:autoSpaceDN w:val="0"/>
        <w:adjustRightInd w:val="0"/>
        <w:ind w:left="0" w:hanging="11"/>
        <w:jc w:val="both"/>
        <w:rPr>
          <w:rFonts w:ascii="Times New Roman" w:hAnsi="Times New Roman"/>
          <w:sz w:val="28"/>
          <w:szCs w:val="28"/>
        </w:rPr>
      </w:pPr>
      <w:r w:rsidRPr="00862128">
        <w:rPr>
          <w:rFonts w:ascii="Times New Roman" w:hAnsi="Times New Roman"/>
          <w:sz w:val="28"/>
          <w:szCs w:val="28"/>
        </w:rPr>
        <w:t xml:space="preserve">Según el artículo 2 del Decreto 2067 de 1991, las acciones de inconstitucionalidad deben contener: “1. el señalamiento de las normas acusadas como inconstitucionales, su </w:t>
      </w:r>
      <w:r w:rsidRPr="00862128">
        <w:rPr>
          <w:rFonts w:ascii="Times New Roman" w:hAnsi="Times New Roman"/>
          <w:sz w:val="28"/>
          <w:szCs w:val="28"/>
        </w:rPr>
        <w:t>transcripción literal por cualquier medio o un ejemplar de la publicación oficial de las mismas; 2. El señalamiento de las normas constitucionales que se consideren infringidas; 3. Las razones por las cuales esos textos se estiman violados; 4. Cuando fuera</w:t>
      </w:r>
      <w:r w:rsidRPr="00862128">
        <w:rPr>
          <w:rFonts w:ascii="Times New Roman" w:hAnsi="Times New Roman"/>
          <w:sz w:val="28"/>
          <w:szCs w:val="28"/>
        </w:rPr>
        <w:t xml:space="preserve"> el caso, el señalamiento del trámite impuesto por la Constitución para la expedición del acto demandado y la forma en que fue quebrantado; y 5. La razón por la cual la Corte es competente para conocer de la demanda”.</w:t>
      </w:r>
    </w:p>
    <w:p w:rsidR="00C803F4" w:rsidRPr="00862128" w:rsidRDefault="00862128" w:rsidP="00BE5143">
      <w:pPr>
        <w:pStyle w:val="Prrafodelista"/>
        <w:tabs>
          <w:tab w:val="left" w:pos="426"/>
        </w:tabs>
        <w:autoSpaceDE w:val="0"/>
        <w:autoSpaceDN w:val="0"/>
        <w:adjustRightInd w:val="0"/>
        <w:ind w:left="0" w:hanging="11"/>
        <w:jc w:val="both"/>
        <w:rPr>
          <w:rFonts w:ascii="Times New Roman" w:hAnsi="Times New Roman"/>
          <w:sz w:val="28"/>
          <w:szCs w:val="28"/>
        </w:rPr>
      </w:pPr>
    </w:p>
    <w:p w:rsidR="00C803F4" w:rsidRPr="00862128" w:rsidRDefault="00862128" w:rsidP="00BE5143">
      <w:pPr>
        <w:pStyle w:val="Prrafodelista"/>
        <w:numPr>
          <w:ilvl w:val="0"/>
          <w:numId w:val="4"/>
        </w:numPr>
        <w:tabs>
          <w:tab w:val="left" w:pos="426"/>
        </w:tabs>
        <w:autoSpaceDE w:val="0"/>
        <w:autoSpaceDN w:val="0"/>
        <w:adjustRightInd w:val="0"/>
        <w:ind w:left="0" w:hanging="11"/>
        <w:jc w:val="both"/>
        <w:rPr>
          <w:rFonts w:ascii="Times New Roman" w:hAnsi="Times New Roman"/>
          <w:sz w:val="28"/>
          <w:szCs w:val="28"/>
        </w:rPr>
      </w:pPr>
      <w:r w:rsidRPr="00862128">
        <w:rPr>
          <w:rFonts w:ascii="Times New Roman" w:hAnsi="Times New Roman"/>
          <w:sz w:val="28"/>
          <w:szCs w:val="28"/>
        </w:rPr>
        <w:t>La Corte Constitucional se ha ocupado</w:t>
      </w:r>
      <w:r w:rsidRPr="00862128">
        <w:rPr>
          <w:rFonts w:ascii="Times New Roman" w:hAnsi="Times New Roman"/>
          <w:sz w:val="28"/>
          <w:szCs w:val="28"/>
        </w:rPr>
        <w:t xml:space="preserve"> en distintas oportunidades de los requisitos que debe reunir una demanda de inconstitucionalidad para que un asunto sometido a su consideración pueda ser decidido de fondo. Las exigencias que la rigen no son contrarias al carácter público de la acción de </w:t>
      </w:r>
      <w:r w:rsidRPr="00862128">
        <w:rPr>
          <w:rFonts w:ascii="Times New Roman" w:hAnsi="Times New Roman"/>
          <w:sz w:val="28"/>
          <w:szCs w:val="28"/>
        </w:rPr>
        <w:t>inconstitucionalidad, sino que responden a la necesidad de establecer una carga procesal mínima que tiene la finalidad de permitir que esta Corte pueda cumplir de manera eficaz las funciones que le han sido asignadas por la Constitución en esta materia</w:t>
      </w:r>
      <w:r w:rsidRPr="00862128">
        <w:rPr>
          <w:rStyle w:val="Refdenotaalpie"/>
          <w:rFonts w:ascii="Times New Roman" w:hAnsi="Times New Roman"/>
          <w:sz w:val="28"/>
          <w:szCs w:val="28"/>
        </w:rPr>
        <w:footnoteReference w:id="71"/>
      </w:r>
      <w:r w:rsidRPr="00862128">
        <w:rPr>
          <w:rFonts w:ascii="Times New Roman" w:hAnsi="Times New Roman"/>
          <w:sz w:val="28"/>
          <w:szCs w:val="28"/>
        </w:rPr>
        <w:t>.</w:t>
      </w:r>
    </w:p>
    <w:p w:rsidR="00C803F4" w:rsidRPr="00862128" w:rsidRDefault="00862128" w:rsidP="00BE5143">
      <w:pPr>
        <w:pStyle w:val="Prrafodelista"/>
        <w:ind w:left="0" w:hanging="11"/>
        <w:rPr>
          <w:rFonts w:ascii="Times New Roman" w:hAnsi="Times New Roman"/>
          <w:sz w:val="28"/>
          <w:szCs w:val="28"/>
        </w:rPr>
      </w:pPr>
    </w:p>
    <w:p w:rsidR="00C803F4" w:rsidRPr="00862128" w:rsidRDefault="00862128" w:rsidP="00BE5143">
      <w:pPr>
        <w:pStyle w:val="Prrafodelista"/>
        <w:numPr>
          <w:ilvl w:val="0"/>
          <w:numId w:val="4"/>
        </w:numPr>
        <w:tabs>
          <w:tab w:val="left" w:pos="426"/>
        </w:tabs>
        <w:autoSpaceDE w:val="0"/>
        <w:autoSpaceDN w:val="0"/>
        <w:adjustRightInd w:val="0"/>
        <w:ind w:left="0" w:hanging="11"/>
        <w:jc w:val="both"/>
        <w:rPr>
          <w:rFonts w:ascii="Times New Roman" w:hAnsi="Times New Roman"/>
          <w:sz w:val="28"/>
          <w:szCs w:val="28"/>
        </w:rPr>
      </w:pPr>
      <w:r w:rsidRPr="00862128">
        <w:rPr>
          <w:rFonts w:ascii="Times New Roman" w:hAnsi="Times New Roman"/>
          <w:sz w:val="28"/>
          <w:szCs w:val="28"/>
        </w:rPr>
        <w:t>Para que exista demanda</w:t>
      </w:r>
      <w:r w:rsidRPr="00862128">
        <w:rPr>
          <w:rFonts w:ascii="Times New Roman" w:hAnsi="Times New Roman"/>
          <w:sz w:val="28"/>
          <w:szCs w:val="28"/>
        </w:rPr>
        <w:t xml:space="preserve"> </w:t>
      </w:r>
      <w:r w:rsidRPr="00862128">
        <w:rPr>
          <w:rFonts w:ascii="Times New Roman" w:hAnsi="Times New Roman"/>
          <w:sz w:val="28"/>
          <w:szCs w:val="28"/>
        </w:rPr>
        <w:t>en forma y, en esa medida, la Corte pueda entrar a emitir pronunciamiento de fondo sobre la declaratoria de inexequibilidad de leyes, el demandante, además de (i) señalar las normas que se acusan como inconstitucionales y (ii) las d</w:t>
      </w:r>
      <w:r w:rsidRPr="00862128">
        <w:rPr>
          <w:rFonts w:ascii="Times New Roman" w:hAnsi="Times New Roman"/>
          <w:sz w:val="28"/>
          <w:szCs w:val="28"/>
        </w:rPr>
        <w:t>isposiciones superiores que estima infringidas, (iii)</w:t>
      </w:r>
      <w:r w:rsidRPr="00862128">
        <w:rPr>
          <w:rFonts w:ascii="Times New Roman" w:hAnsi="Times New Roman"/>
          <w:sz w:val="28"/>
          <w:szCs w:val="28"/>
        </w:rPr>
        <w:t xml:space="preserve"> </w:t>
      </w:r>
      <w:r w:rsidRPr="00862128">
        <w:rPr>
          <w:rFonts w:ascii="Times New Roman" w:hAnsi="Times New Roman"/>
          <w:sz w:val="28"/>
          <w:szCs w:val="28"/>
        </w:rPr>
        <w:t>debe exponer las razones o motivos por los cuales la norma acusada viola la</w:t>
      </w:r>
      <w:r w:rsidRPr="00862128">
        <w:rPr>
          <w:rFonts w:ascii="Times New Roman" w:hAnsi="Times New Roman"/>
          <w:sz w:val="28"/>
          <w:szCs w:val="28"/>
        </w:rPr>
        <w:t xml:space="preserve"> </w:t>
      </w:r>
      <w:r w:rsidRPr="00862128">
        <w:rPr>
          <w:rFonts w:ascii="Times New Roman" w:hAnsi="Times New Roman"/>
          <w:sz w:val="28"/>
          <w:szCs w:val="28"/>
        </w:rPr>
        <w:t>Constitución</w:t>
      </w:r>
      <w:r w:rsidRPr="00862128">
        <w:rPr>
          <w:rStyle w:val="Refdenotaalpie"/>
          <w:rFonts w:ascii="Times New Roman" w:hAnsi="Times New Roman"/>
          <w:sz w:val="28"/>
          <w:szCs w:val="28"/>
        </w:rPr>
        <w:footnoteReference w:id="72"/>
      </w:r>
      <w:r w:rsidRPr="00862128">
        <w:rPr>
          <w:rFonts w:ascii="Times New Roman" w:hAnsi="Times New Roman"/>
          <w:sz w:val="28"/>
          <w:szCs w:val="28"/>
        </w:rPr>
        <w:t>.</w:t>
      </w:r>
    </w:p>
    <w:p w:rsidR="00C803F4" w:rsidRPr="00862128" w:rsidRDefault="00862128" w:rsidP="00BE5143">
      <w:pPr>
        <w:pStyle w:val="Prrafodelista"/>
        <w:ind w:left="0" w:hanging="11"/>
        <w:rPr>
          <w:rFonts w:ascii="Times New Roman" w:hAnsi="Times New Roman"/>
          <w:sz w:val="28"/>
          <w:szCs w:val="28"/>
        </w:rPr>
      </w:pPr>
    </w:p>
    <w:p w:rsidR="00C803F4" w:rsidRPr="00862128" w:rsidRDefault="00862128" w:rsidP="00BE5143">
      <w:pPr>
        <w:pStyle w:val="Prrafodelista"/>
        <w:numPr>
          <w:ilvl w:val="0"/>
          <w:numId w:val="4"/>
        </w:numPr>
        <w:tabs>
          <w:tab w:val="left" w:pos="426"/>
        </w:tabs>
        <w:autoSpaceDE w:val="0"/>
        <w:autoSpaceDN w:val="0"/>
        <w:adjustRightInd w:val="0"/>
        <w:ind w:left="0" w:hanging="11"/>
        <w:jc w:val="both"/>
        <w:rPr>
          <w:rFonts w:ascii="Times New Roman" w:hAnsi="Times New Roman"/>
          <w:sz w:val="28"/>
          <w:szCs w:val="28"/>
        </w:rPr>
      </w:pPr>
      <w:r w:rsidRPr="00862128">
        <w:rPr>
          <w:rFonts w:ascii="Times New Roman" w:hAnsi="Times New Roman"/>
          <w:sz w:val="28"/>
          <w:szCs w:val="28"/>
        </w:rPr>
        <w:t xml:space="preserve">Las dos primeras exigencias cumplen un doble propósito. En primer lugar, la determinación clara y precisa del </w:t>
      </w:r>
      <w:r w:rsidRPr="00862128">
        <w:rPr>
          <w:rFonts w:ascii="Times New Roman" w:hAnsi="Times New Roman"/>
          <w:i/>
          <w:iCs/>
          <w:sz w:val="28"/>
          <w:szCs w:val="28"/>
        </w:rPr>
        <w:t>objeto</w:t>
      </w:r>
      <w:r w:rsidRPr="00862128">
        <w:rPr>
          <w:rFonts w:ascii="Times New Roman" w:hAnsi="Times New Roman"/>
          <w:sz w:val="28"/>
          <w:szCs w:val="28"/>
        </w:rPr>
        <w:t xml:space="preserve"> sobre el que versa la actuación. Esto corresponde a la identificación de las normas que se demandan como inconstitucionales, que se cumple con su transcripción literal por cualquier medio o con la remisión de un ejemplar de la publicación oficial. E</w:t>
      </w:r>
      <w:r w:rsidRPr="00862128">
        <w:rPr>
          <w:rFonts w:ascii="Times New Roman" w:hAnsi="Times New Roman"/>
          <w:sz w:val="28"/>
          <w:szCs w:val="28"/>
        </w:rPr>
        <w:t>n segundo lugar, que la demanda señale de forma clara las normas constitucionales que a juicio del accionante son vulneradas por las disposiciones acusadas y que son relevantes para el juicio.</w:t>
      </w:r>
    </w:p>
    <w:p w:rsidR="00C803F4" w:rsidRPr="00862128" w:rsidRDefault="00862128" w:rsidP="00BE5143">
      <w:pPr>
        <w:pStyle w:val="Prrafodelista"/>
        <w:ind w:left="0" w:hanging="11"/>
        <w:rPr>
          <w:rFonts w:ascii="Times New Roman" w:hAnsi="Times New Roman"/>
          <w:sz w:val="28"/>
          <w:szCs w:val="28"/>
        </w:rPr>
      </w:pPr>
    </w:p>
    <w:p w:rsidR="00F2404A" w:rsidRPr="00862128" w:rsidRDefault="00862128" w:rsidP="00BE5143">
      <w:pPr>
        <w:pStyle w:val="Prrafodelista"/>
        <w:numPr>
          <w:ilvl w:val="0"/>
          <w:numId w:val="4"/>
        </w:numPr>
        <w:tabs>
          <w:tab w:val="left" w:pos="426"/>
        </w:tabs>
        <w:autoSpaceDE w:val="0"/>
        <w:autoSpaceDN w:val="0"/>
        <w:adjustRightInd w:val="0"/>
        <w:ind w:left="0" w:hanging="11"/>
        <w:jc w:val="both"/>
        <w:rPr>
          <w:rFonts w:ascii="Times New Roman" w:hAnsi="Times New Roman"/>
          <w:sz w:val="28"/>
          <w:szCs w:val="28"/>
        </w:rPr>
      </w:pPr>
      <w:r w:rsidRPr="00862128">
        <w:rPr>
          <w:rFonts w:ascii="Times New Roman" w:hAnsi="Times New Roman"/>
          <w:sz w:val="28"/>
          <w:szCs w:val="28"/>
        </w:rPr>
        <w:t xml:space="preserve">El tercer requisito implica una carga particular, que consiste en la formulación de por lo menos un cargo concreto de inconstitucionalidad respaldado en razones </w:t>
      </w:r>
      <w:r w:rsidRPr="00862128">
        <w:rPr>
          <w:rFonts w:ascii="Times New Roman" w:hAnsi="Times New Roman"/>
          <w:i/>
          <w:iCs/>
          <w:sz w:val="28"/>
          <w:szCs w:val="28"/>
        </w:rPr>
        <w:t>claras, ciertas, específicas, pertinentes y suficientes</w:t>
      </w:r>
      <w:r w:rsidRPr="00862128">
        <w:rPr>
          <w:rStyle w:val="Refdenotaalpie"/>
          <w:rFonts w:ascii="Times New Roman" w:hAnsi="Times New Roman"/>
          <w:sz w:val="28"/>
          <w:szCs w:val="28"/>
        </w:rPr>
        <w:footnoteReference w:id="73"/>
      </w:r>
      <w:r w:rsidRPr="00862128">
        <w:rPr>
          <w:rFonts w:ascii="Times New Roman" w:hAnsi="Times New Roman"/>
          <w:sz w:val="28"/>
          <w:szCs w:val="28"/>
        </w:rPr>
        <w:t>, que permitan establecer una oposición</w:t>
      </w:r>
      <w:r w:rsidRPr="00862128">
        <w:rPr>
          <w:rFonts w:ascii="Times New Roman" w:hAnsi="Times New Roman"/>
          <w:sz w:val="28"/>
          <w:szCs w:val="28"/>
        </w:rPr>
        <w:t xml:space="preserve"> objetiva y verificable entre la norma demandada y las disposiciones constitucionales. Es decir, el demandante debe proponer una verdadera controversia de naturaleza constitucional</w:t>
      </w:r>
      <w:r w:rsidRPr="00862128">
        <w:rPr>
          <w:rStyle w:val="Refdenotaalpie"/>
          <w:rFonts w:ascii="Times New Roman" w:hAnsi="Times New Roman"/>
          <w:sz w:val="28"/>
          <w:szCs w:val="28"/>
        </w:rPr>
        <w:footnoteReference w:id="74"/>
      </w:r>
      <w:r w:rsidRPr="00862128">
        <w:rPr>
          <w:rFonts w:ascii="Times New Roman" w:hAnsi="Times New Roman"/>
          <w:sz w:val="28"/>
          <w:szCs w:val="28"/>
        </w:rPr>
        <w:t xml:space="preserve">. </w:t>
      </w:r>
      <w:r w:rsidRPr="00862128">
        <w:rPr>
          <w:rFonts w:ascii="Times New Roman" w:hAnsi="Times New Roman"/>
          <w:sz w:val="28"/>
          <w:szCs w:val="28"/>
        </w:rPr>
        <w:t>En l</w:t>
      </w:r>
      <w:r w:rsidRPr="00862128">
        <w:rPr>
          <w:rFonts w:ascii="Times New Roman" w:hAnsi="Times New Roman"/>
          <w:sz w:val="28"/>
          <w:szCs w:val="28"/>
        </w:rPr>
        <w:t>a Sentencia C-1052 de 2001</w:t>
      </w:r>
      <w:r w:rsidRPr="00862128">
        <w:rPr>
          <w:rFonts w:ascii="Times New Roman" w:hAnsi="Times New Roman"/>
          <w:sz w:val="28"/>
          <w:szCs w:val="28"/>
        </w:rPr>
        <w:t xml:space="preserve"> y otras providencias de esta Corte se sist</w:t>
      </w:r>
      <w:r w:rsidRPr="00862128">
        <w:rPr>
          <w:rFonts w:ascii="Times New Roman" w:hAnsi="Times New Roman"/>
          <w:sz w:val="28"/>
          <w:szCs w:val="28"/>
        </w:rPr>
        <w:t xml:space="preserve">ematizaron </w:t>
      </w:r>
      <w:r w:rsidRPr="00862128">
        <w:rPr>
          <w:rFonts w:ascii="Times New Roman" w:hAnsi="Times New Roman"/>
          <w:sz w:val="28"/>
          <w:szCs w:val="28"/>
        </w:rPr>
        <w:t>estos cinco requisitos de aptitud sustantiva para la activación de un juicio de inconstitucionalidad</w:t>
      </w:r>
      <w:r w:rsidRPr="00862128">
        <w:rPr>
          <w:rStyle w:val="Refdenotaalpie"/>
          <w:rFonts w:ascii="Times New Roman" w:hAnsi="Times New Roman"/>
          <w:sz w:val="28"/>
          <w:szCs w:val="28"/>
        </w:rPr>
        <w:footnoteReference w:id="75"/>
      </w:r>
      <w:r w:rsidRPr="00862128">
        <w:rPr>
          <w:rFonts w:ascii="Times New Roman" w:hAnsi="Times New Roman"/>
          <w:sz w:val="28"/>
          <w:szCs w:val="28"/>
        </w:rPr>
        <w:t>:</w:t>
      </w:r>
    </w:p>
    <w:p w:rsidR="00FB752B" w:rsidRPr="00862128" w:rsidRDefault="00862128" w:rsidP="004E2C4C">
      <w:pPr>
        <w:pStyle w:val="Prrafodelista"/>
        <w:tabs>
          <w:tab w:val="left" w:pos="284"/>
        </w:tabs>
        <w:ind w:left="0"/>
        <w:jc w:val="both"/>
        <w:rPr>
          <w:rFonts w:ascii="Times New Roman" w:hAnsi="Times New Roman"/>
          <w:sz w:val="28"/>
          <w:szCs w:val="28"/>
        </w:rPr>
      </w:pPr>
    </w:p>
    <w:p w:rsidR="00FB752B" w:rsidRPr="00862128" w:rsidRDefault="00862128" w:rsidP="00FB752B">
      <w:pPr>
        <w:pStyle w:val="Prrafodelista"/>
        <w:tabs>
          <w:tab w:val="left" w:pos="284"/>
        </w:tabs>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9"/>
        <w:gridCol w:w="6289"/>
      </w:tblGrid>
      <w:tr w:rsidR="00FB752B" w:rsidRPr="00862128" w:rsidTr="00862128">
        <w:trPr>
          <w:trHeight w:val="697"/>
        </w:trPr>
        <w:tc>
          <w:tcPr>
            <w:tcW w:w="1838" w:type="dxa"/>
            <w:shd w:val="clear" w:color="auto" w:fill="auto"/>
          </w:tcPr>
          <w:p w:rsidR="00FB752B" w:rsidRPr="00862128" w:rsidRDefault="00862128" w:rsidP="00862128">
            <w:pPr>
              <w:pStyle w:val="Prrafodelista"/>
              <w:tabs>
                <w:tab w:val="left" w:pos="284"/>
              </w:tabs>
              <w:spacing w:after="0" w:line="240" w:lineRule="auto"/>
              <w:rPr>
                <w:rFonts w:ascii="Times New Roman" w:hAnsi="Times New Roman"/>
                <w:b/>
                <w:bCs/>
                <w:sz w:val="28"/>
                <w:szCs w:val="28"/>
              </w:rPr>
            </w:pPr>
            <w:r w:rsidRPr="00862128">
              <w:rPr>
                <w:rFonts w:ascii="Times New Roman" w:hAnsi="Times New Roman"/>
                <w:b/>
                <w:bCs/>
                <w:sz w:val="28"/>
                <w:szCs w:val="28"/>
              </w:rPr>
              <w:t>Claridad</w:t>
            </w:r>
          </w:p>
        </w:tc>
        <w:tc>
          <w:tcPr>
            <w:tcW w:w="7216" w:type="dxa"/>
            <w:shd w:val="clear" w:color="auto" w:fill="auto"/>
          </w:tcPr>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 xml:space="preserve">Que la acusación sea suficientemente comprensible y de fácil entendimiento. Los argumentos deben ser determinados, precisos y </w:t>
            </w:r>
            <w:r w:rsidRPr="00862128">
              <w:rPr>
                <w:rFonts w:ascii="Times New Roman" w:hAnsi="Times New Roman"/>
                <w:sz w:val="28"/>
                <w:szCs w:val="24"/>
              </w:rPr>
              <w:t>entendibles. No contradictorios, ilógicos ni anfibológicos</w:t>
            </w:r>
            <w:r w:rsidRPr="00862128">
              <w:rPr>
                <w:rFonts w:ascii="Times New Roman" w:hAnsi="Times New Roman"/>
                <w:sz w:val="28"/>
                <w:szCs w:val="24"/>
              </w:rPr>
              <w:t xml:space="preserve"> (ambiguo</w:t>
            </w:r>
            <w:r w:rsidRPr="00862128">
              <w:rPr>
                <w:rFonts w:ascii="Times New Roman" w:hAnsi="Times New Roman"/>
                <w:sz w:val="28"/>
                <w:szCs w:val="24"/>
              </w:rPr>
              <w:t>s</w:t>
            </w:r>
            <w:r w:rsidRPr="00862128">
              <w:rPr>
                <w:rFonts w:ascii="Times New Roman" w:hAnsi="Times New Roman"/>
                <w:sz w:val="28"/>
                <w:szCs w:val="24"/>
              </w:rPr>
              <w:t>, equívoco</w:t>
            </w:r>
            <w:r w:rsidRPr="00862128">
              <w:rPr>
                <w:rFonts w:ascii="Times New Roman" w:hAnsi="Times New Roman"/>
                <w:sz w:val="28"/>
                <w:szCs w:val="24"/>
              </w:rPr>
              <w:t>s</w:t>
            </w:r>
            <w:r w:rsidRPr="00862128">
              <w:rPr>
                <w:rFonts w:ascii="Times New Roman" w:hAnsi="Times New Roman"/>
                <w:sz w:val="28"/>
                <w:szCs w:val="24"/>
              </w:rPr>
              <w:t>)</w:t>
            </w:r>
            <w:r w:rsidRPr="00862128">
              <w:rPr>
                <w:rFonts w:ascii="Times New Roman" w:hAnsi="Times New Roman"/>
                <w:sz w:val="28"/>
                <w:szCs w:val="24"/>
              </w:rPr>
              <w:t xml:space="preserve"> de manera que se pueda identificar exactamente el alcance o el sentido de lo pretendido y de qué manera el texto que se controvierte infringe la Carta. </w:t>
            </w:r>
          </w:p>
          <w:p w:rsidR="00FB752B" w:rsidRPr="00862128" w:rsidRDefault="00862128" w:rsidP="00862128">
            <w:pPr>
              <w:pStyle w:val="Prrafodelista"/>
              <w:tabs>
                <w:tab w:val="left" w:pos="284"/>
              </w:tabs>
              <w:spacing w:after="0" w:line="240" w:lineRule="auto"/>
              <w:rPr>
                <w:rFonts w:ascii="Times New Roman" w:hAnsi="Times New Roman"/>
                <w:sz w:val="28"/>
              </w:rPr>
            </w:pPr>
          </w:p>
        </w:tc>
      </w:tr>
      <w:tr w:rsidR="00FB752B" w:rsidRPr="00862128" w:rsidTr="00862128">
        <w:trPr>
          <w:trHeight w:val="1685"/>
        </w:trPr>
        <w:tc>
          <w:tcPr>
            <w:tcW w:w="1838" w:type="dxa"/>
            <w:shd w:val="clear" w:color="auto" w:fill="auto"/>
          </w:tcPr>
          <w:p w:rsidR="00FB752B" w:rsidRPr="00862128" w:rsidRDefault="00862128" w:rsidP="00862128">
            <w:pPr>
              <w:pStyle w:val="Prrafodelista"/>
              <w:tabs>
                <w:tab w:val="left" w:pos="284"/>
              </w:tabs>
              <w:spacing w:after="0" w:line="240" w:lineRule="auto"/>
              <w:rPr>
                <w:rFonts w:ascii="Times New Roman" w:hAnsi="Times New Roman"/>
                <w:b/>
                <w:bCs/>
                <w:sz w:val="28"/>
                <w:szCs w:val="28"/>
              </w:rPr>
            </w:pPr>
            <w:r w:rsidRPr="00862128">
              <w:rPr>
                <w:rFonts w:ascii="Times New Roman" w:hAnsi="Times New Roman"/>
                <w:b/>
                <w:bCs/>
                <w:sz w:val="28"/>
                <w:szCs w:val="28"/>
              </w:rPr>
              <w:t>Certeza</w:t>
            </w:r>
          </w:p>
        </w:tc>
        <w:tc>
          <w:tcPr>
            <w:tcW w:w="7216" w:type="dxa"/>
            <w:shd w:val="clear" w:color="auto" w:fill="auto"/>
          </w:tcPr>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 xml:space="preserve">Que la </w:t>
            </w:r>
            <w:r w:rsidRPr="00862128">
              <w:rPr>
                <w:rFonts w:ascii="Times New Roman" w:hAnsi="Times New Roman"/>
                <w:sz w:val="28"/>
                <w:szCs w:val="24"/>
              </w:rPr>
              <w:t>acusación recaiga directamente sobre el contenido de la disposición demandada y no sobre una proposición jurídica inferida o deducida por el actor e incluso sobre otras normas vigentes que, en todo caso, no son el objeto concreto de la demanda.</w:t>
            </w:r>
          </w:p>
          <w:p w:rsidR="00FB752B" w:rsidRPr="00862128" w:rsidRDefault="00862128" w:rsidP="00862128">
            <w:pPr>
              <w:tabs>
                <w:tab w:val="left" w:pos="284"/>
              </w:tabs>
              <w:spacing w:after="0" w:line="240" w:lineRule="auto"/>
              <w:rPr>
                <w:rFonts w:ascii="Times New Roman" w:hAnsi="Times New Roman"/>
                <w:sz w:val="28"/>
                <w:szCs w:val="24"/>
              </w:rPr>
            </w:pPr>
          </w:p>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Se requier</w:t>
            </w:r>
            <w:r w:rsidRPr="00862128">
              <w:rPr>
                <w:rFonts w:ascii="Times New Roman" w:hAnsi="Times New Roman"/>
                <w:sz w:val="28"/>
                <w:szCs w:val="24"/>
              </w:rPr>
              <w:t>e que los cargos tengan por objeto un enunciado normativo perteneciente al ordenamiento jurídico e ir dirigidos a impugnar la disposición señalada en la demanda. La norma demandada debe ser susceptible de inferirse del enunciado acusado y no ser fruto de u</w:t>
            </w:r>
            <w:r w:rsidRPr="00862128">
              <w:rPr>
                <w:rFonts w:ascii="Times New Roman" w:hAnsi="Times New Roman"/>
                <w:sz w:val="28"/>
                <w:szCs w:val="24"/>
              </w:rPr>
              <w:t>na construcción exclusivamente subjetiva, con base en presunciones, conjeturas o sospechas del actor.</w:t>
            </w:r>
          </w:p>
          <w:p w:rsidR="00FB752B" w:rsidRPr="00862128" w:rsidRDefault="00862128" w:rsidP="00862128">
            <w:pPr>
              <w:tabs>
                <w:tab w:val="left" w:pos="284"/>
              </w:tabs>
              <w:spacing w:after="0" w:line="240" w:lineRule="auto"/>
              <w:rPr>
                <w:rFonts w:ascii="Times New Roman" w:hAnsi="Times New Roman"/>
                <w:sz w:val="28"/>
                <w:szCs w:val="24"/>
              </w:rPr>
            </w:pPr>
          </w:p>
        </w:tc>
      </w:tr>
      <w:tr w:rsidR="00FB752B" w:rsidRPr="00862128" w:rsidTr="00862128">
        <w:trPr>
          <w:trHeight w:val="1695"/>
        </w:trPr>
        <w:tc>
          <w:tcPr>
            <w:tcW w:w="1838" w:type="dxa"/>
            <w:shd w:val="clear" w:color="auto" w:fill="auto"/>
          </w:tcPr>
          <w:p w:rsidR="00FB752B" w:rsidRPr="00862128" w:rsidRDefault="00862128" w:rsidP="00862128">
            <w:pPr>
              <w:pStyle w:val="Prrafodelista"/>
              <w:tabs>
                <w:tab w:val="left" w:pos="284"/>
              </w:tabs>
              <w:spacing w:after="0" w:line="240" w:lineRule="auto"/>
              <w:jc w:val="both"/>
              <w:rPr>
                <w:rFonts w:ascii="Times New Roman" w:hAnsi="Times New Roman"/>
                <w:b/>
                <w:bCs/>
                <w:sz w:val="28"/>
                <w:szCs w:val="28"/>
              </w:rPr>
            </w:pPr>
            <w:r w:rsidRPr="00862128">
              <w:rPr>
                <w:rFonts w:ascii="Times New Roman" w:hAnsi="Times New Roman"/>
                <w:b/>
                <w:bCs/>
                <w:sz w:val="28"/>
                <w:szCs w:val="28"/>
              </w:rPr>
              <w:t>Especificidad</w:t>
            </w:r>
          </w:p>
        </w:tc>
        <w:tc>
          <w:tcPr>
            <w:tcW w:w="7216" w:type="dxa"/>
            <w:shd w:val="clear" w:color="auto" w:fill="auto"/>
          </w:tcPr>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Que se demuestre la manera cómo la disposición vulnera la Constitución Política, mediante argumentos determinados, concretos, precisos y p</w:t>
            </w:r>
            <w:r w:rsidRPr="00862128">
              <w:rPr>
                <w:rFonts w:ascii="Times New Roman" w:hAnsi="Times New Roman"/>
                <w:sz w:val="28"/>
                <w:szCs w:val="24"/>
              </w:rPr>
              <w:t>articulares sobre la norma en juicio.  Se debe establecer diáfanamente la manera como la norma demandada vulnera la Constitución.</w:t>
            </w:r>
          </w:p>
          <w:p w:rsidR="00486062" w:rsidRPr="00862128" w:rsidRDefault="00862128" w:rsidP="00862128">
            <w:pPr>
              <w:tabs>
                <w:tab w:val="left" w:pos="284"/>
              </w:tabs>
              <w:spacing w:after="0" w:line="240" w:lineRule="auto"/>
              <w:jc w:val="both"/>
              <w:rPr>
                <w:rFonts w:ascii="Times New Roman" w:hAnsi="Times New Roman"/>
                <w:sz w:val="28"/>
                <w:szCs w:val="24"/>
              </w:rPr>
            </w:pPr>
          </w:p>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 xml:space="preserve">La </w:t>
            </w:r>
            <w:r w:rsidRPr="00862128">
              <w:rPr>
                <w:rFonts w:ascii="Times New Roman" w:hAnsi="Times New Roman"/>
                <w:iCs/>
                <w:sz w:val="28"/>
                <w:szCs w:val="24"/>
              </w:rPr>
              <w:t>especificidad</w:t>
            </w:r>
            <w:r w:rsidRPr="00862128">
              <w:rPr>
                <w:rFonts w:ascii="Times New Roman" w:hAnsi="Times New Roman"/>
                <w:i/>
                <w:sz w:val="28"/>
                <w:szCs w:val="24"/>
              </w:rPr>
              <w:t xml:space="preserve"> </w:t>
            </w:r>
            <w:r w:rsidRPr="00862128">
              <w:rPr>
                <w:rFonts w:ascii="Times New Roman" w:hAnsi="Times New Roman"/>
                <w:sz w:val="28"/>
                <w:szCs w:val="24"/>
              </w:rPr>
              <w:t>de los cargos exige concreción y puntualidad en la censura, es decir, la demostración de que el enunciado no</w:t>
            </w:r>
            <w:r w:rsidRPr="00862128">
              <w:rPr>
                <w:rFonts w:ascii="Times New Roman" w:hAnsi="Times New Roman"/>
                <w:sz w:val="28"/>
                <w:szCs w:val="24"/>
              </w:rPr>
              <w:t xml:space="preserve">rmativo exhibe un problema de validez constitucional y la explicación de la manera en que esa consecuencia le es atribuible. </w:t>
            </w:r>
          </w:p>
          <w:p w:rsidR="00FB752B" w:rsidRPr="00862128" w:rsidRDefault="00862128" w:rsidP="00862128">
            <w:pPr>
              <w:tabs>
                <w:tab w:val="left" w:pos="284"/>
              </w:tabs>
              <w:spacing w:after="0" w:line="240" w:lineRule="auto"/>
              <w:rPr>
                <w:rFonts w:ascii="Times New Roman" w:hAnsi="Times New Roman"/>
                <w:sz w:val="28"/>
                <w:szCs w:val="24"/>
              </w:rPr>
            </w:pPr>
          </w:p>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 xml:space="preserve">Se debe establecer si realmente existe una oposición objetiva y verificable entre el contenido de la </w:t>
            </w:r>
            <w:r w:rsidRPr="00862128">
              <w:rPr>
                <w:rFonts w:ascii="Times New Roman" w:hAnsi="Times New Roman"/>
                <w:sz w:val="28"/>
                <w:szCs w:val="24"/>
              </w:rPr>
              <w:t xml:space="preserve">norma demandada </w:t>
            </w:r>
            <w:r w:rsidRPr="00862128">
              <w:rPr>
                <w:rFonts w:ascii="Times New Roman" w:hAnsi="Times New Roman"/>
                <w:sz w:val="28"/>
                <w:szCs w:val="24"/>
              </w:rPr>
              <w:t>y el texto d</w:t>
            </w:r>
            <w:r w:rsidRPr="00862128">
              <w:rPr>
                <w:rFonts w:ascii="Times New Roman" w:hAnsi="Times New Roman"/>
                <w:sz w:val="28"/>
                <w:szCs w:val="24"/>
              </w:rPr>
              <w:t>e la Constitución Política, resultando inadmisible que se deba resolver sobre su inexequibilidad a partir de</w:t>
            </w:r>
            <w:r w:rsidRPr="00862128">
              <w:rPr>
                <w:rFonts w:ascii="Times New Roman" w:hAnsi="Times New Roman"/>
                <w:sz w:val="28"/>
                <w:szCs w:val="24"/>
              </w:rPr>
              <w:t xml:space="preserve"> </w:t>
            </w:r>
            <w:r w:rsidRPr="00862128">
              <w:rPr>
                <w:rFonts w:ascii="Times New Roman" w:hAnsi="Times New Roman"/>
                <w:sz w:val="28"/>
                <w:szCs w:val="24"/>
              </w:rPr>
              <w:t>argumentos vagos, indeterminados, indirectos, abstractos y globales que no se relacionan concreta</w:t>
            </w:r>
            <w:r w:rsidRPr="00862128">
              <w:rPr>
                <w:rFonts w:ascii="Times New Roman" w:hAnsi="Times New Roman"/>
                <w:sz w:val="28"/>
                <w:szCs w:val="24"/>
              </w:rPr>
              <w:t xml:space="preserve"> </w:t>
            </w:r>
            <w:r w:rsidRPr="00862128">
              <w:rPr>
                <w:rFonts w:ascii="Times New Roman" w:hAnsi="Times New Roman"/>
                <w:sz w:val="28"/>
                <w:szCs w:val="24"/>
              </w:rPr>
              <w:t xml:space="preserve">y directamente con las disposiciones que se </w:t>
            </w:r>
            <w:r w:rsidRPr="00862128">
              <w:rPr>
                <w:rFonts w:ascii="Times New Roman" w:hAnsi="Times New Roman"/>
                <w:sz w:val="28"/>
                <w:szCs w:val="24"/>
              </w:rPr>
              <w:t>acusan.</w:t>
            </w:r>
          </w:p>
          <w:p w:rsidR="00FB752B" w:rsidRPr="00862128" w:rsidRDefault="00862128" w:rsidP="00862128">
            <w:pPr>
              <w:tabs>
                <w:tab w:val="left" w:pos="284"/>
              </w:tabs>
              <w:spacing w:after="0" w:line="240" w:lineRule="auto"/>
              <w:rPr>
                <w:rFonts w:ascii="Times New Roman" w:hAnsi="Times New Roman"/>
                <w:sz w:val="28"/>
                <w:szCs w:val="24"/>
              </w:rPr>
            </w:pPr>
          </w:p>
        </w:tc>
      </w:tr>
      <w:tr w:rsidR="00FB752B" w:rsidRPr="00862128" w:rsidTr="00862128">
        <w:trPr>
          <w:trHeight w:val="1124"/>
        </w:trPr>
        <w:tc>
          <w:tcPr>
            <w:tcW w:w="1838" w:type="dxa"/>
            <w:shd w:val="clear" w:color="auto" w:fill="auto"/>
          </w:tcPr>
          <w:p w:rsidR="00FB752B" w:rsidRPr="00862128" w:rsidRDefault="00862128" w:rsidP="00862128">
            <w:pPr>
              <w:pStyle w:val="Prrafodelista"/>
              <w:tabs>
                <w:tab w:val="left" w:pos="284"/>
              </w:tabs>
              <w:spacing w:after="0" w:line="240" w:lineRule="auto"/>
              <w:rPr>
                <w:rFonts w:ascii="Times New Roman" w:hAnsi="Times New Roman"/>
                <w:b/>
                <w:bCs/>
                <w:sz w:val="28"/>
                <w:szCs w:val="28"/>
              </w:rPr>
            </w:pPr>
            <w:r w:rsidRPr="00862128">
              <w:rPr>
                <w:rFonts w:ascii="Times New Roman" w:hAnsi="Times New Roman"/>
                <w:b/>
                <w:bCs/>
                <w:sz w:val="28"/>
                <w:szCs w:val="28"/>
              </w:rPr>
              <w:t>Pertinencia</w:t>
            </w:r>
          </w:p>
        </w:tc>
        <w:tc>
          <w:tcPr>
            <w:tcW w:w="7216" w:type="dxa"/>
            <w:shd w:val="clear" w:color="auto" w:fill="auto"/>
          </w:tcPr>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Que se utilicen argumentos de naturaleza estrictamente constitucional y no razones de orden legal, personal, doctrinal o de simple conveniencia.</w:t>
            </w:r>
          </w:p>
          <w:p w:rsidR="00FB752B" w:rsidRPr="00862128" w:rsidRDefault="00862128" w:rsidP="00862128">
            <w:pPr>
              <w:tabs>
                <w:tab w:val="left" w:pos="284"/>
              </w:tabs>
              <w:spacing w:after="0" w:line="240" w:lineRule="auto"/>
              <w:rPr>
                <w:rFonts w:ascii="Times New Roman" w:hAnsi="Times New Roman"/>
                <w:sz w:val="28"/>
                <w:szCs w:val="24"/>
              </w:rPr>
            </w:pPr>
          </w:p>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Es necesario que los cargos planteen un juicio de contradicción normativa entre una disposición legal y una de jerarquía constitucional. Adicionalmente, el razonamiento que funda la presunta inconstitucionalidad debe ser de relevancia constitucional, no le</w:t>
            </w:r>
            <w:r w:rsidRPr="00862128">
              <w:rPr>
                <w:rFonts w:ascii="Times New Roman" w:hAnsi="Times New Roman"/>
                <w:sz w:val="28"/>
                <w:szCs w:val="24"/>
              </w:rPr>
              <w:t>gal, doctrinal, político o moral. El cargo no es pertinente si el argumento en que se sostiene se basa en hipótesis acerca de situaciones de hecho, reales o de eventual ocurrencia, o ejemplos en los que podría ser o es aplicada la disposición.</w:t>
            </w:r>
          </w:p>
          <w:p w:rsidR="00856C36" w:rsidRPr="00862128" w:rsidRDefault="00862128" w:rsidP="00862128">
            <w:pPr>
              <w:tabs>
                <w:tab w:val="left" w:pos="284"/>
              </w:tabs>
              <w:spacing w:after="0" w:line="240" w:lineRule="auto"/>
              <w:jc w:val="both"/>
              <w:rPr>
                <w:rFonts w:ascii="Times New Roman" w:hAnsi="Times New Roman"/>
                <w:sz w:val="28"/>
                <w:szCs w:val="24"/>
              </w:rPr>
            </w:pPr>
          </w:p>
          <w:p w:rsidR="00856C36" w:rsidRPr="00862128" w:rsidRDefault="00862128" w:rsidP="00862128">
            <w:pPr>
              <w:pStyle w:val="Prrafodelista"/>
              <w:tabs>
                <w:tab w:val="left" w:pos="567"/>
              </w:tabs>
              <w:spacing w:after="0" w:line="240" w:lineRule="auto"/>
              <w:ind w:left="0"/>
              <w:jc w:val="both"/>
              <w:rPr>
                <w:rFonts w:ascii="Times New Roman" w:hAnsi="Times New Roman"/>
                <w:sz w:val="28"/>
                <w:szCs w:val="24"/>
              </w:rPr>
            </w:pPr>
            <w:r w:rsidRPr="00862128">
              <w:rPr>
                <w:rFonts w:ascii="Times New Roman" w:hAnsi="Times New Roman"/>
                <w:sz w:val="28"/>
                <w:szCs w:val="24"/>
              </w:rPr>
              <w:t>En la sente</w:t>
            </w:r>
            <w:r w:rsidRPr="00862128">
              <w:rPr>
                <w:rFonts w:ascii="Times New Roman" w:hAnsi="Times New Roman"/>
                <w:sz w:val="28"/>
                <w:szCs w:val="24"/>
              </w:rPr>
              <w:t xml:space="preserve">ncia C-292 de 2019 se enuncian lo siguientes ejemplos que, según la Corte, carecen de pertinencia: “acusaciones que se fundamenten (i) en el provecho o utilidad que una norma puede traer (C-1059 de 2008); (ii) en la oposición de la norma con disposiciones </w:t>
            </w:r>
            <w:r w:rsidRPr="00862128">
              <w:rPr>
                <w:rFonts w:ascii="Times New Roman" w:hAnsi="Times New Roman"/>
                <w:sz w:val="28"/>
                <w:szCs w:val="24"/>
              </w:rPr>
              <w:t>que no puedan ser parámetro de control (C-1059 de 2008); (iii) en las consecuencias que una medida puede tener en el desfinanciamiento de otras inversiones del Estado (C-1059 de 2008); o (iv) en la aplicación de una norma por parte de una autoridad adminis</w:t>
            </w:r>
            <w:r w:rsidRPr="00862128">
              <w:rPr>
                <w:rFonts w:ascii="Times New Roman" w:hAnsi="Times New Roman"/>
                <w:sz w:val="28"/>
                <w:szCs w:val="24"/>
              </w:rPr>
              <w:t>trativa a situaciones específicas (C-987 de 2005). Igualmente ha descartado el cargo cuando se pretende (v) corregir la interpretación que en casos particulares han efectuado las personas o los jueces de la República (C-785 de 2014); (vi) obtener declaraci</w:t>
            </w:r>
            <w:r w:rsidRPr="00862128">
              <w:rPr>
                <w:rFonts w:ascii="Times New Roman" w:hAnsi="Times New Roman"/>
                <w:sz w:val="28"/>
                <w:szCs w:val="24"/>
              </w:rPr>
              <w:t>ones específicas respecto de actos o contratos (C-785 de 2014); o (v) resolver una antinomia constitucional o declarar la inconstitucionalidad de una disposición de la Carta, por entrar en una eventual contradicción con otro mandato de la misma Constitució</w:t>
            </w:r>
            <w:r w:rsidRPr="00862128">
              <w:rPr>
                <w:rFonts w:ascii="Times New Roman" w:hAnsi="Times New Roman"/>
                <w:sz w:val="28"/>
                <w:szCs w:val="24"/>
              </w:rPr>
              <w:t>n (C-433 de 2013).”</w:t>
            </w:r>
          </w:p>
          <w:p w:rsidR="00856C36" w:rsidRPr="00862128" w:rsidRDefault="00862128" w:rsidP="00862128">
            <w:pPr>
              <w:tabs>
                <w:tab w:val="left" w:pos="284"/>
              </w:tabs>
              <w:spacing w:after="0" w:line="240" w:lineRule="auto"/>
              <w:jc w:val="both"/>
              <w:rPr>
                <w:rFonts w:ascii="Times New Roman" w:hAnsi="Times New Roman"/>
                <w:sz w:val="28"/>
                <w:szCs w:val="24"/>
              </w:rPr>
            </w:pPr>
          </w:p>
          <w:p w:rsidR="00FB752B" w:rsidRPr="00862128" w:rsidRDefault="00862128" w:rsidP="00862128">
            <w:pPr>
              <w:tabs>
                <w:tab w:val="left" w:pos="284"/>
              </w:tabs>
              <w:spacing w:after="0" w:line="240" w:lineRule="auto"/>
              <w:rPr>
                <w:rFonts w:ascii="Times New Roman" w:hAnsi="Times New Roman"/>
                <w:sz w:val="28"/>
                <w:szCs w:val="24"/>
              </w:rPr>
            </w:pPr>
          </w:p>
        </w:tc>
      </w:tr>
      <w:tr w:rsidR="00FB752B" w:rsidRPr="00862128" w:rsidTr="00862128">
        <w:trPr>
          <w:trHeight w:val="1693"/>
        </w:trPr>
        <w:tc>
          <w:tcPr>
            <w:tcW w:w="1838" w:type="dxa"/>
            <w:shd w:val="clear" w:color="auto" w:fill="auto"/>
          </w:tcPr>
          <w:p w:rsidR="00FB752B" w:rsidRPr="00862128" w:rsidRDefault="00862128" w:rsidP="00862128">
            <w:pPr>
              <w:pStyle w:val="Prrafodelista"/>
              <w:tabs>
                <w:tab w:val="left" w:pos="284"/>
              </w:tabs>
              <w:spacing w:after="0" w:line="240" w:lineRule="auto"/>
              <w:rPr>
                <w:rFonts w:ascii="Times New Roman" w:hAnsi="Times New Roman"/>
                <w:b/>
                <w:bCs/>
                <w:sz w:val="28"/>
                <w:szCs w:val="28"/>
              </w:rPr>
            </w:pPr>
            <w:r w:rsidRPr="00862128">
              <w:rPr>
                <w:rFonts w:ascii="Times New Roman" w:hAnsi="Times New Roman"/>
                <w:b/>
                <w:bCs/>
                <w:sz w:val="28"/>
                <w:szCs w:val="28"/>
              </w:rPr>
              <w:t>Suficiencia</w:t>
            </w:r>
          </w:p>
        </w:tc>
        <w:tc>
          <w:tcPr>
            <w:tcW w:w="7216" w:type="dxa"/>
            <w:shd w:val="clear" w:color="auto" w:fill="auto"/>
          </w:tcPr>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Que la acusación contenga todos los elementos fácticos y probatorios necesarios para adelantar el juicio de inconstitucionalidad, de forma que genere por lo menos una sospecha o duda mínima sobre la constitucionalidad del</w:t>
            </w:r>
            <w:r w:rsidRPr="00862128">
              <w:rPr>
                <w:rFonts w:ascii="Times New Roman" w:hAnsi="Times New Roman"/>
                <w:sz w:val="28"/>
                <w:szCs w:val="24"/>
              </w:rPr>
              <w:t xml:space="preserve"> precepto acusado.</w:t>
            </w:r>
          </w:p>
          <w:p w:rsidR="00FB752B" w:rsidRPr="00862128" w:rsidRDefault="00862128" w:rsidP="00862128">
            <w:pPr>
              <w:tabs>
                <w:tab w:val="left" w:pos="284"/>
              </w:tabs>
              <w:spacing w:after="0" w:line="240" w:lineRule="auto"/>
              <w:rPr>
                <w:rFonts w:ascii="Times New Roman" w:hAnsi="Times New Roman"/>
                <w:sz w:val="28"/>
                <w:szCs w:val="24"/>
              </w:rPr>
            </w:pPr>
          </w:p>
          <w:p w:rsidR="00FB752B" w:rsidRPr="00862128" w:rsidRDefault="00862128" w:rsidP="00862128">
            <w:pPr>
              <w:tabs>
                <w:tab w:val="left" w:pos="284"/>
              </w:tabs>
              <w:spacing w:after="0" w:line="240" w:lineRule="auto"/>
              <w:jc w:val="both"/>
              <w:rPr>
                <w:rFonts w:ascii="Times New Roman" w:hAnsi="Times New Roman"/>
                <w:sz w:val="28"/>
                <w:szCs w:val="24"/>
              </w:rPr>
            </w:pPr>
            <w:r w:rsidRPr="00862128">
              <w:rPr>
                <w:rFonts w:ascii="Times New Roman" w:hAnsi="Times New Roman"/>
                <w:sz w:val="28"/>
                <w:szCs w:val="24"/>
              </w:rPr>
              <w:t>La suficiencia implica que la demostración de los cargos contenga un mínimo desarrollo, en orden a demostrar la inconstitucionalidad que se le imputa al texto demandado. El cargo debe proporcionar razones, por lo menos básicas, que logr</w:t>
            </w:r>
            <w:r w:rsidRPr="00862128">
              <w:rPr>
                <w:rFonts w:ascii="Times New Roman" w:hAnsi="Times New Roman"/>
                <w:sz w:val="28"/>
                <w:szCs w:val="24"/>
              </w:rPr>
              <w:t>en poner en entredicho la presunción de constitucionalidad de las leyes, derivada del principio democrático, que justifique llevar a cabo un control jurídico sobre el resultado del acto político del legislador</w:t>
            </w:r>
            <w:r w:rsidRPr="00862128">
              <w:rPr>
                <w:rFonts w:ascii="Times New Roman" w:hAnsi="Times New Roman"/>
                <w:sz w:val="28"/>
                <w:szCs w:val="24"/>
              </w:rPr>
              <w:t>.</w:t>
            </w:r>
          </w:p>
          <w:p w:rsidR="00FB752B" w:rsidRPr="00862128" w:rsidRDefault="00862128" w:rsidP="00862128">
            <w:pPr>
              <w:tabs>
                <w:tab w:val="left" w:pos="284"/>
              </w:tabs>
              <w:spacing w:after="0" w:line="240" w:lineRule="auto"/>
              <w:rPr>
                <w:rFonts w:ascii="Times New Roman" w:hAnsi="Times New Roman"/>
                <w:sz w:val="28"/>
                <w:szCs w:val="24"/>
              </w:rPr>
            </w:pPr>
          </w:p>
          <w:p w:rsidR="00FB752B" w:rsidRPr="00862128" w:rsidRDefault="00862128" w:rsidP="00862128">
            <w:pPr>
              <w:tabs>
                <w:tab w:val="left" w:pos="284"/>
              </w:tabs>
              <w:spacing w:after="0" w:line="240" w:lineRule="auto"/>
              <w:rPr>
                <w:rFonts w:ascii="Times New Roman" w:hAnsi="Times New Roman"/>
                <w:sz w:val="28"/>
                <w:szCs w:val="24"/>
              </w:rPr>
            </w:pPr>
          </w:p>
        </w:tc>
      </w:tr>
    </w:tbl>
    <w:p w:rsidR="00FB752B" w:rsidRPr="00862128" w:rsidRDefault="00862128" w:rsidP="00FB752B">
      <w:pPr>
        <w:pStyle w:val="Prrafodelista"/>
        <w:tabs>
          <w:tab w:val="left" w:pos="426"/>
        </w:tabs>
        <w:autoSpaceDE w:val="0"/>
        <w:autoSpaceDN w:val="0"/>
        <w:adjustRightInd w:val="0"/>
        <w:ind w:left="0"/>
        <w:jc w:val="both"/>
        <w:rPr>
          <w:rFonts w:ascii="Times New Roman" w:hAnsi="Times New Roman"/>
          <w:sz w:val="28"/>
        </w:rPr>
      </w:pPr>
      <w:r w:rsidRPr="00862128">
        <w:rPr>
          <w:rFonts w:ascii="Times New Roman" w:hAnsi="Times New Roman"/>
          <w:sz w:val="28"/>
        </w:rPr>
        <w:t xml:space="preserve">Tabla 3. </w:t>
      </w:r>
      <w:r w:rsidRPr="00862128">
        <w:rPr>
          <w:rFonts w:ascii="Times New Roman" w:hAnsi="Times New Roman"/>
          <w:i/>
          <w:iCs/>
          <w:sz w:val="28"/>
        </w:rPr>
        <w:t xml:space="preserve">Requisitos de aptitud sustantiva </w:t>
      </w:r>
      <w:r w:rsidRPr="00862128">
        <w:rPr>
          <w:rFonts w:ascii="Times New Roman" w:hAnsi="Times New Roman"/>
          <w:i/>
          <w:iCs/>
          <w:sz w:val="28"/>
        </w:rPr>
        <w:t>de la demanda de inconstitucionalidad</w:t>
      </w:r>
    </w:p>
    <w:p w:rsidR="00E93B4F" w:rsidRPr="00862128" w:rsidRDefault="00862128" w:rsidP="00FB752B">
      <w:pPr>
        <w:pStyle w:val="Prrafodelista"/>
        <w:tabs>
          <w:tab w:val="left" w:pos="426"/>
        </w:tabs>
        <w:autoSpaceDE w:val="0"/>
        <w:autoSpaceDN w:val="0"/>
        <w:adjustRightInd w:val="0"/>
        <w:ind w:left="0"/>
        <w:jc w:val="both"/>
        <w:rPr>
          <w:rFonts w:ascii="Times New Roman" w:hAnsi="Times New Roman"/>
          <w:sz w:val="28"/>
          <w:szCs w:val="28"/>
        </w:rPr>
      </w:pPr>
    </w:p>
    <w:p w:rsidR="00F2404A" w:rsidRPr="00862128" w:rsidRDefault="00862128" w:rsidP="00BE5143">
      <w:pPr>
        <w:pStyle w:val="Prrafodelista"/>
        <w:numPr>
          <w:ilvl w:val="0"/>
          <w:numId w:val="4"/>
        </w:numPr>
        <w:tabs>
          <w:tab w:val="left" w:pos="426"/>
        </w:tabs>
        <w:ind w:left="0" w:hanging="11"/>
        <w:jc w:val="both"/>
        <w:rPr>
          <w:rFonts w:ascii="Times New Roman" w:hAnsi="Times New Roman"/>
          <w:sz w:val="28"/>
          <w:szCs w:val="28"/>
        </w:rPr>
      </w:pPr>
      <w:r w:rsidRPr="00862128">
        <w:rPr>
          <w:rFonts w:ascii="Times New Roman" w:hAnsi="Times New Roman"/>
          <w:sz w:val="28"/>
          <w:szCs w:val="28"/>
        </w:rPr>
        <w:t xml:space="preserve">De este modo, cuando se satisfacen todos los anteriores requisitos, la Corte está en condiciones de adelantar el proceso judicial para determinar si lo demandado “se somete o no al ordenamiento supralegal que se dice </w:t>
      </w:r>
      <w:r w:rsidRPr="00862128">
        <w:rPr>
          <w:rFonts w:ascii="Times New Roman" w:hAnsi="Times New Roman"/>
          <w:sz w:val="28"/>
          <w:szCs w:val="28"/>
        </w:rPr>
        <w:t>desconocido”</w:t>
      </w:r>
      <w:r w:rsidRPr="00862128">
        <w:rPr>
          <w:rStyle w:val="Refdenotaalpie"/>
          <w:rFonts w:ascii="Times New Roman" w:hAnsi="Times New Roman"/>
          <w:sz w:val="28"/>
          <w:szCs w:val="28"/>
        </w:rPr>
        <w:footnoteReference w:id="76"/>
      </w:r>
      <w:r w:rsidRPr="00862128">
        <w:rPr>
          <w:rFonts w:ascii="Times New Roman" w:hAnsi="Times New Roman"/>
          <w:sz w:val="28"/>
          <w:szCs w:val="28"/>
        </w:rPr>
        <w:t>. De lo contrario, al juez constitucional le será imposible “entrar en el examen material de los preceptos atacados con miras a establecer si se avienen o no a la Constitución”</w:t>
      </w:r>
      <w:r w:rsidRPr="00862128">
        <w:rPr>
          <w:rStyle w:val="Refdenotaalpie"/>
          <w:rFonts w:ascii="Times New Roman" w:hAnsi="Times New Roman"/>
          <w:sz w:val="28"/>
          <w:szCs w:val="28"/>
        </w:rPr>
        <w:footnoteReference w:id="77"/>
      </w:r>
      <w:r w:rsidRPr="00862128">
        <w:rPr>
          <w:rFonts w:ascii="Times New Roman" w:hAnsi="Times New Roman"/>
          <w:sz w:val="28"/>
          <w:szCs w:val="28"/>
        </w:rPr>
        <w:t xml:space="preserve"> y, en tales circunstancias, no habrá lugar a darle curso al proce</w:t>
      </w:r>
      <w:r w:rsidRPr="00862128">
        <w:rPr>
          <w:rFonts w:ascii="Times New Roman" w:hAnsi="Times New Roman"/>
          <w:sz w:val="28"/>
          <w:szCs w:val="28"/>
        </w:rPr>
        <w:t>so o habiéndolo adelantado este culminará con una sentencia inhibitoria.</w:t>
      </w:r>
    </w:p>
    <w:p w:rsidR="00F2404A" w:rsidRPr="00862128" w:rsidRDefault="00862128" w:rsidP="00BE5143">
      <w:pPr>
        <w:tabs>
          <w:tab w:val="left" w:pos="426"/>
        </w:tabs>
        <w:ind w:hanging="11"/>
        <w:jc w:val="both"/>
        <w:rPr>
          <w:rFonts w:ascii="Times New Roman" w:hAnsi="Times New Roman"/>
          <w:sz w:val="28"/>
          <w:szCs w:val="28"/>
        </w:rPr>
      </w:pPr>
    </w:p>
    <w:p w:rsidR="00607884" w:rsidRPr="00862128" w:rsidRDefault="00862128" w:rsidP="00A83301">
      <w:pPr>
        <w:numPr>
          <w:ilvl w:val="0"/>
          <w:numId w:val="4"/>
        </w:numPr>
        <w:tabs>
          <w:tab w:val="left" w:pos="426"/>
        </w:tabs>
        <w:ind w:left="0" w:hanging="11"/>
        <w:jc w:val="both"/>
        <w:rPr>
          <w:rFonts w:ascii="Times New Roman" w:hAnsi="Times New Roman"/>
          <w:sz w:val="28"/>
          <w:szCs w:val="28"/>
        </w:rPr>
      </w:pPr>
      <w:r w:rsidRPr="00862128">
        <w:rPr>
          <w:rFonts w:ascii="Times New Roman" w:hAnsi="Times New Roman"/>
          <w:noProof/>
          <w:sz w:val="28"/>
          <w:szCs w:val="28"/>
          <w:lang w:val="es-ES_tradnl"/>
        </w:rPr>
        <w:t>Adicionalmente, en los casos en los cuales el cargo invocado se funda en la presunta violación del derecho a la igualdad, la Corte Constitucional ha sostenido que es preciso que la p</w:t>
      </w:r>
      <w:r w:rsidRPr="00862128">
        <w:rPr>
          <w:rFonts w:ascii="Times New Roman" w:hAnsi="Times New Roman"/>
          <w:noProof/>
          <w:sz w:val="28"/>
          <w:szCs w:val="28"/>
          <w:lang w:val="es-ES_tradnl"/>
        </w:rPr>
        <w:t xml:space="preserve">ersona promotora de la acción cumpla la siguiente carga adicional, la cual se enmarca en el requisito de suficiencia: (i) identifique los grupos o situaciones que, en su criterio, son comparables; (ii) </w:t>
      </w:r>
      <w:r w:rsidRPr="00862128">
        <w:rPr>
          <w:rFonts w:ascii="Times New Roman" w:hAnsi="Times New Roman"/>
          <w:noProof/>
          <w:sz w:val="28"/>
          <w:szCs w:val="28"/>
        </w:rPr>
        <w:t>explique las razones por las que los grupos o situacio</w:t>
      </w:r>
      <w:r w:rsidRPr="00862128">
        <w:rPr>
          <w:rFonts w:ascii="Times New Roman" w:hAnsi="Times New Roman"/>
          <w:noProof/>
          <w:sz w:val="28"/>
          <w:szCs w:val="28"/>
        </w:rPr>
        <w:t xml:space="preserve">nes son comparables; (iii) </w:t>
      </w:r>
      <w:r w:rsidRPr="00862128">
        <w:rPr>
          <w:rFonts w:ascii="Times New Roman" w:hAnsi="Times New Roman"/>
          <w:noProof/>
          <w:sz w:val="28"/>
          <w:szCs w:val="28"/>
          <w:lang w:val="es-ES_tradnl"/>
        </w:rPr>
        <w:t xml:space="preserve">precise cuál es el trato diferencial que el ordenamiento jurídico prevé </w:t>
      </w:r>
      <w:r w:rsidRPr="00862128">
        <w:rPr>
          <w:rFonts w:ascii="Times New Roman" w:hAnsi="Times New Roman"/>
          <w:noProof/>
          <w:sz w:val="28"/>
          <w:szCs w:val="28"/>
          <w:lang w:val="es-ES_tradnl"/>
        </w:rPr>
        <w:t xml:space="preserve">o que fue introducido por la disposición acusada </w:t>
      </w:r>
      <w:r w:rsidRPr="00862128">
        <w:rPr>
          <w:rFonts w:ascii="Times New Roman" w:hAnsi="Times New Roman"/>
          <w:noProof/>
          <w:sz w:val="28"/>
          <w:szCs w:val="28"/>
          <w:lang w:val="es-ES_tradnl"/>
        </w:rPr>
        <w:t>y, finalmente, (i</w:t>
      </w:r>
      <w:r w:rsidRPr="00862128">
        <w:rPr>
          <w:rFonts w:ascii="Times New Roman" w:hAnsi="Times New Roman"/>
          <w:noProof/>
          <w:sz w:val="28"/>
          <w:szCs w:val="28"/>
          <w:lang w:val="es-ES_tradnl"/>
        </w:rPr>
        <w:t>v</w:t>
      </w:r>
      <w:r w:rsidRPr="00862128">
        <w:rPr>
          <w:rFonts w:ascii="Times New Roman" w:hAnsi="Times New Roman"/>
          <w:noProof/>
          <w:sz w:val="28"/>
          <w:szCs w:val="28"/>
          <w:lang w:val="es-ES_tradnl"/>
        </w:rPr>
        <w:t>) destaque la razón por la cual, en su opinión y con fundamento en el ordenamiento, el tra</w:t>
      </w:r>
      <w:r w:rsidRPr="00862128">
        <w:rPr>
          <w:rFonts w:ascii="Times New Roman" w:hAnsi="Times New Roman"/>
          <w:noProof/>
          <w:sz w:val="28"/>
          <w:szCs w:val="28"/>
          <w:lang w:val="es-ES_tradnl"/>
        </w:rPr>
        <w:t>to no está constitucionalmente justificado</w:t>
      </w:r>
      <w:r w:rsidRPr="00862128">
        <w:rPr>
          <w:rStyle w:val="Refdenotaalpie"/>
          <w:rFonts w:ascii="Times New Roman" w:hAnsi="Times New Roman"/>
          <w:noProof/>
          <w:sz w:val="28"/>
          <w:szCs w:val="28"/>
          <w:lang w:val="es-ES_tradnl"/>
        </w:rPr>
        <w:footnoteReference w:id="78"/>
      </w:r>
      <w:r w:rsidRPr="00862128">
        <w:rPr>
          <w:rFonts w:ascii="Times New Roman" w:hAnsi="Times New Roman"/>
          <w:noProof/>
          <w:sz w:val="28"/>
          <w:szCs w:val="28"/>
          <w:lang w:val="es-ES_tradnl"/>
        </w:rPr>
        <w:t>. Lo anterior se requiere en la medida en que la igualdad exige analizar el contexto relacional de los sujetos que se pretenden comparar, para lo cual, de manera consistente, esta corporación ha acudido a su análi</w:t>
      </w:r>
      <w:r w:rsidRPr="00862128">
        <w:rPr>
          <w:rFonts w:ascii="Times New Roman" w:hAnsi="Times New Roman"/>
          <w:noProof/>
          <w:sz w:val="28"/>
          <w:szCs w:val="28"/>
          <w:lang w:val="es-ES_tradnl"/>
        </w:rPr>
        <w:t>sis a través del juicio integrado de igualdad.</w:t>
      </w:r>
    </w:p>
    <w:p w:rsidR="00A83301" w:rsidRPr="00862128" w:rsidRDefault="00862128" w:rsidP="00A83301">
      <w:pPr>
        <w:pStyle w:val="Prrafodelista"/>
        <w:rPr>
          <w:rFonts w:ascii="Times New Roman" w:hAnsi="Times New Roman"/>
          <w:sz w:val="28"/>
          <w:szCs w:val="28"/>
        </w:rPr>
      </w:pPr>
    </w:p>
    <w:p w:rsidR="00A83301" w:rsidRPr="00862128" w:rsidRDefault="00862128" w:rsidP="00A83301">
      <w:pPr>
        <w:tabs>
          <w:tab w:val="left" w:pos="426"/>
        </w:tabs>
        <w:jc w:val="both"/>
        <w:rPr>
          <w:rFonts w:ascii="Times New Roman" w:hAnsi="Times New Roman"/>
          <w:sz w:val="28"/>
          <w:szCs w:val="28"/>
        </w:rPr>
      </w:pPr>
    </w:p>
    <w:p w:rsidR="00275E98" w:rsidRPr="00862128" w:rsidRDefault="00862128" w:rsidP="003664DF">
      <w:pPr>
        <w:pStyle w:val="Ttulo3"/>
        <w:ind w:hanging="11"/>
        <w:jc w:val="both"/>
        <w:rPr>
          <w:rFonts w:ascii="Times New Roman" w:hAnsi="Times New Roman"/>
          <w:b/>
          <w:bCs/>
          <w:color w:val="000000"/>
          <w:lang w:val="es-ES"/>
        </w:rPr>
      </w:pPr>
      <w:bookmarkStart w:id="22" w:name="_Toc223713286"/>
      <w:r w:rsidRPr="00862128">
        <w:rPr>
          <w:rFonts w:ascii="Times New Roman" w:hAnsi="Times New Roman"/>
          <w:b/>
          <w:bCs/>
          <w:color w:val="000000"/>
          <w:lang w:val="es-ES_tradnl"/>
        </w:rPr>
        <w:t>3.</w:t>
      </w:r>
      <w:r w:rsidRPr="00862128">
        <w:rPr>
          <w:rFonts w:ascii="Times New Roman" w:hAnsi="Times New Roman"/>
          <w:b/>
          <w:bCs/>
          <w:color w:val="000000"/>
          <w:lang w:val="es-ES_tradnl"/>
        </w:rPr>
        <w:t>2</w:t>
      </w:r>
      <w:r w:rsidRPr="00862128">
        <w:rPr>
          <w:rFonts w:ascii="Times New Roman" w:hAnsi="Times New Roman"/>
          <w:b/>
          <w:bCs/>
          <w:color w:val="000000"/>
          <w:lang w:val="es-ES_tradnl"/>
        </w:rPr>
        <w:t xml:space="preserve">. </w:t>
      </w:r>
      <w:r w:rsidRPr="00862128">
        <w:rPr>
          <w:rFonts w:ascii="Times New Roman" w:hAnsi="Times New Roman"/>
          <w:b/>
          <w:bCs/>
          <w:color w:val="000000"/>
          <w:lang w:val="es-ES"/>
        </w:rPr>
        <w:t>El cargo sobre violación del principio de igualdad no acredita un trato diferencial del ordenamiento jurídico, ni cumple los requisitos de certeza, especificidad, pertinencia y suficiencia</w:t>
      </w:r>
      <w:bookmarkEnd w:id="22"/>
    </w:p>
    <w:p w:rsidR="00607884" w:rsidRPr="00862128" w:rsidRDefault="00862128" w:rsidP="00A83301">
      <w:pPr>
        <w:rPr>
          <w:rFonts w:ascii="Times New Roman" w:hAnsi="Times New Roman"/>
          <w:sz w:val="28"/>
          <w:szCs w:val="28"/>
        </w:rPr>
      </w:pPr>
    </w:p>
    <w:p w:rsidR="00275E98" w:rsidRPr="00862128" w:rsidRDefault="00862128" w:rsidP="00275E98">
      <w:pPr>
        <w:numPr>
          <w:ilvl w:val="0"/>
          <w:numId w:val="4"/>
        </w:numPr>
        <w:tabs>
          <w:tab w:val="left" w:pos="426"/>
        </w:tabs>
        <w:ind w:left="0" w:hanging="11"/>
        <w:jc w:val="both"/>
        <w:rPr>
          <w:rFonts w:ascii="Times New Roman" w:hAnsi="Times New Roman"/>
          <w:sz w:val="28"/>
          <w:szCs w:val="28"/>
          <w:lang w:val="es-ES"/>
        </w:rPr>
      </w:pPr>
      <w:r w:rsidRPr="00862128">
        <w:rPr>
          <w:rFonts w:ascii="Times New Roman" w:hAnsi="Times New Roman"/>
          <w:sz w:val="28"/>
          <w:szCs w:val="28"/>
        </w:rPr>
        <w:t>La Corte abordará el análisis de aptitud del cargo por violación del principio de igualdad de la siguiente manera: primero, resumirá los argumentos presentados por el demandante. Segundo, explicará por qué considera que la acusación no logra demostrar un t</w:t>
      </w:r>
      <w:r w:rsidRPr="00862128">
        <w:rPr>
          <w:rFonts w:ascii="Times New Roman" w:hAnsi="Times New Roman"/>
          <w:sz w:val="28"/>
          <w:szCs w:val="28"/>
        </w:rPr>
        <w:t xml:space="preserve">rato diferencial del ordenamiento jurídico. Finalmente, expondrá las razones por las cuales el cargo no cumple con los requisitos </w:t>
      </w:r>
      <w:r w:rsidRPr="00862128">
        <w:rPr>
          <w:rFonts w:ascii="Times New Roman" w:hAnsi="Times New Roman"/>
          <w:sz w:val="28"/>
          <w:szCs w:val="28"/>
          <w:lang w:val="es-ES"/>
        </w:rPr>
        <w:t>de certeza, especificidad, pertinencia y suficiencia.</w:t>
      </w:r>
    </w:p>
    <w:p w:rsidR="00275E98" w:rsidRPr="00862128" w:rsidRDefault="00862128" w:rsidP="00275E98">
      <w:pPr>
        <w:tabs>
          <w:tab w:val="left" w:pos="426"/>
        </w:tabs>
        <w:jc w:val="both"/>
        <w:rPr>
          <w:rFonts w:ascii="Times New Roman" w:hAnsi="Times New Roman"/>
          <w:sz w:val="28"/>
          <w:szCs w:val="28"/>
          <w:lang w:val="es-ES"/>
        </w:rPr>
      </w:pPr>
    </w:p>
    <w:p w:rsidR="00275E98" w:rsidRPr="00862128" w:rsidRDefault="00862128" w:rsidP="00275E98">
      <w:pPr>
        <w:tabs>
          <w:tab w:val="left" w:pos="426"/>
        </w:tabs>
        <w:jc w:val="both"/>
        <w:rPr>
          <w:rFonts w:ascii="Times New Roman" w:hAnsi="Times New Roman"/>
          <w:b/>
          <w:bCs/>
          <w:i/>
          <w:iCs/>
          <w:sz w:val="28"/>
          <w:szCs w:val="28"/>
        </w:rPr>
      </w:pPr>
      <w:r w:rsidRPr="00862128">
        <w:rPr>
          <w:rFonts w:ascii="Times New Roman" w:hAnsi="Times New Roman"/>
          <w:b/>
          <w:bCs/>
          <w:i/>
          <w:iCs/>
          <w:sz w:val="28"/>
          <w:szCs w:val="28"/>
        </w:rPr>
        <w:t>Resumen del cargo de violación del principio de igualdad</w:t>
      </w:r>
    </w:p>
    <w:p w:rsidR="00275E98" w:rsidRPr="00862128" w:rsidRDefault="00862128" w:rsidP="003664DF">
      <w:pPr>
        <w:tabs>
          <w:tab w:val="left" w:pos="426"/>
        </w:tabs>
        <w:jc w:val="both"/>
        <w:rPr>
          <w:rFonts w:ascii="Times New Roman" w:hAnsi="Times New Roman"/>
          <w:sz w:val="28"/>
          <w:szCs w:val="28"/>
        </w:rPr>
      </w:pPr>
    </w:p>
    <w:p w:rsidR="00117CF9" w:rsidRPr="00862128" w:rsidRDefault="00862128" w:rsidP="00607884">
      <w:pPr>
        <w:numPr>
          <w:ilvl w:val="0"/>
          <w:numId w:val="4"/>
        </w:numPr>
        <w:tabs>
          <w:tab w:val="left" w:pos="426"/>
        </w:tabs>
        <w:ind w:left="0" w:hanging="11"/>
        <w:jc w:val="both"/>
        <w:rPr>
          <w:rFonts w:ascii="Times New Roman" w:hAnsi="Times New Roman"/>
          <w:sz w:val="28"/>
          <w:szCs w:val="28"/>
        </w:rPr>
      </w:pPr>
      <w:r w:rsidRPr="00862128">
        <w:rPr>
          <w:rFonts w:ascii="Times New Roman" w:hAnsi="Times New Roman"/>
          <w:sz w:val="28"/>
          <w:szCs w:val="28"/>
        </w:rPr>
        <w:t>El demandante</w:t>
      </w:r>
      <w:r w:rsidRPr="00862128">
        <w:rPr>
          <w:rFonts w:ascii="Times New Roman" w:hAnsi="Times New Roman"/>
          <w:sz w:val="28"/>
          <w:szCs w:val="28"/>
        </w:rPr>
        <w:t xml:space="preserve"> considera que la</w:t>
      </w:r>
      <w:r w:rsidRPr="00862128">
        <w:rPr>
          <w:rFonts w:ascii="Times New Roman" w:hAnsi="Times New Roman"/>
          <w:sz w:val="28"/>
          <w:szCs w:val="28"/>
        </w:rPr>
        <w:t>s</w:t>
      </w:r>
      <w:r w:rsidRPr="00862128">
        <w:rPr>
          <w:rFonts w:ascii="Times New Roman" w:hAnsi="Times New Roman"/>
          <w:sz w:val="28"/>
          <w:szCs w:val="28"/>
        </w:rPr>
        <w:t xml:space="preserve"> palabra</w:t>
      </w:r>
      <w:r w:rsidRPr="00862128">
        <w:rPr>
          <w:rFonts w:ascii="Times New Roman" w:hAnsi="Times New Roman"/>
          <w:sz w:val="28"/>
          <w:szCs w:val="28"/>
        </w:rPr>
        <w:t>s</w:t>
      </w:r>
      <w:r w:rsidRPr="00862128">
        <w:rPr>
          <w:rFonts w:ascii="Times New Roman" w:hAnsi="Times New Roman"/>
          <w:sz w:val="28"/>
          <w:szCs w:val="28"/>
        </w:rPr>
        <w:t xml:space="preserve"> “firma electrónica” viola </w:t>
      </w:r>
      <w:r w:rsidRPr="00862128">
        <w:rPr>
          <w:rFonts w:ascii="Times New Roman" w:hAnsi="Times New Roman"/>
          <w:sz w:val="28"/>
          <w:szCs w:val="28"/>
        </w:rPr>
        <w:t xml:space="preserve">el </w:t>
      </w:r>
      <w:r w:rsidRPr="00862128">
        <w:rPr>
          <w:rFonts w:ascii="Times New Roman" w:hAnsi="Times New Roman"/>
          <w:sz w:val="28"/>
          <w:szCs w:val="28"/>
        </w:rPr>
        <w:t>artículo 13 (principio de igualdad)</w:t>
      </w:r>
      <w:r w:rsidRPr="00862128">
        <w:rPr>
          <w:rFonts w:ascii="Times New Roman" w:hAnsi="Times New Roman"/>
          <w:sz w:val="28"/>
          <w:szCs w:val="28"/>
        </w:rPr>
        <w:t xml:space="preserve"> de la Constitución por las siguientes razones:</w:t>
      </w:r>
    </w:p>
    <w:p w:rsidR="00117CF9" w:rsidRPr="00862128" w:rsidRDefault="00862128" w:rsidP="00117CF9">
      <w:pPr>
        <w:pStyle w:val="Prrafodelista"/>
        <w:tabs>
          <w:tab w:val="left" w:pos="567"/>
        </w:tabs>
        <w:ind w:left="0"/>
        <w:jc w:val="both"/>
        <w:rPr>
          <w:rFonts w:ascii="Times New Roman" w:hAnsi="Times New Roman"/>
          <w:sz w:val="28"/>
          <w:szCs w:val="28"/>
        </w:rPr>
      </w:pPr>
    </w:p>
    <w:p w:rsidR="00117CF9" w:rsidRPr="00862128" w:rsidRDefault="00862128" w:rsidP="00117CF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La expresión “firma electrónica vulnera el principio de igualdad porque genera un trato diferente e injustificado a</w:t>
      </w:r>
      <w:r w:rsidRPr="00862128">
        <w:rPr>
          <w:rFonts w:ascii="Times New Roman" w:hAnsi="Times New Roman"/>
          <w:sz w:val="28"/>
          <w:szCs w:val="28"/>
        </w:rPr>
        <w:t xml:space="preserve"> las siguientes entidades que compiten en el mercado de crédito de consumo: (i) “las personas naturales o jurídicas que otorgan créditos mediante sistemas de financiación desarrollados a través de medios electrónicos y cuyo control y vigilancia sobre su ac</w:t>
      </w:r>
      <w:r w:rsidRPr="00862128">
        <w:rPr>
          <w:rFonts w:ascii="Times New Roman" w:hAnsi="Times New Roman"/>
          <w:sz w:val="28"/>
          <w:szCs w:val="28"/>
        </w:rPr>
        <w:t>tividad crediticia no ha sido asignado a alguna autoridad administrativa en particular”</w:t>
      </w:r>
      <w:r w:rsidRPr="00862128">
        <w:rPr>
          <w:rStyle w:val="Refdenotaalpie"/>
          <w:rFonts w:ascii="Times New Roman" w:hAnsi="Times New Roman"/>
          <w:sz w:val="28"/>
          <w:szCs w:val="28"/>
        </w:rPr>
        <w:footnoteReference w:id="79"/>
      </w:r>
      <w:r w:rsidRPr="00862128">
        <w:rPr>
          <w:rFonts w:ascii="Times New Roman" w:hAnsi="Times New Roman"/>
          <w:sz w:val="28"/>
          <w:szCs w:val="28"/>
        </w:rPr>
        <w:t xml:space="preserve"> y, (ii) “los establecimientos de crédito y demás entidades vigiladas por la Superintendencia Financiera de Colombia, que otorgan créditos a través de mecanismos electr</w:t>
      </w:r>
      <w:r w:rsidRPr="00862128">
        <w:rPr>
          <w:rFonts w:ascii="Times New Roman" w:hAnsi="Times New Roman"/>
          <w:sz w:val="28"/>
          <w:szCs w:val="28"/>
        </w:rPr>
        <w:t>ónicos”</w:t>
      </w:r>
      <w:r w:rsidRPr="00862128">
        <w:rPr>
          <w:rStyle w:val="Refdenotaalpie"/>
          <w:rFonts w:ascii="Times New Roman" w:hAnsi="Times New Roman"/>
          <w:sz w:val="28"/>
          <w:szCs w:val="28"/>
        </w:rPr>
        <w:footnoteReference w:id="80"/>
      </w:r>
      <w:r w:rsidRPr="00862128">
        <w:rPr>
          <w:rFonts w:ascii="Times New Roman" w:hAnsi="Times New Roman"/>
          <w:sz w:val="28"/>
          <w:szCs w:val="28"/>
        </w:rPr>
        <w:t xml:space="preserve">. </w:t>
      </w:r>
    </w:p>
    <w:p w:rsidR="00117CF9" w:rsidRPr="00862128" w:rsidRDefault="00862128" w:rsidP="00117CF9">
      <w:pPr>
        <w:pStyle w:val="Prrafodelista"/>
        <w:rPr>
          <w:rFonts w:ascii="Times New Roman" w:hAnsi="Times New Roman"/>
          <w:sz w:val="28"/>
          <w:szCs w:val="28"/>
        </w:rPr>
      </w:pPr>
    </w:p>
    <w:p w:rsidR="00146B8A" w:rsidRPr="00862128" w:rsidRDefault="00862128" w:rsidP="00117CF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La vulneración al principio de igualdad es el aspecto determinante de la demanda. Para establecer el tratamiento discriminatorio, el accionante parte del supuesto de que las entidades vigiladas por la Superintendencia Financiera deben incluir e</w:t>
      </w:r>
      <w:r w:rsidRPr="00862128">
        <w:rPr>
          <w:rFonts w:ascii="Times New Roman" w:hAnsi="Times New Roman"/>
          <w:sz w:val="28"/>
          <w:szCs w:val="28"/>
        </w:rPr>
        <w:t xml:space="preserve">l valor de la “firma electrónica” como parte de los intereses. En efecto, en la </w:t>
      </w:r>
      <w:r w:rsidRPr="00862128">
        <w:rPr>
          <w:rFonts w:ascii="Times New Roman" w:hAnsi="Times New Roman"/>
          <w:sz w:val="28"/>
          <w:szCs w:val="28"/>
        </w:rPr>
        <w:t>sinopsis</w:t>
      </w:r>
      <w:r w:rsidRPr="00862128">
        <w:rPr>
          <w:rFonts w:ascii="Times New Roman" w:hAnsi="Times New Roman"/>
          <w:sz w:val="28"/>
          <w:szCs w:val="28"/>
        </w:rPr>
        <w:t xml:space="preserve"> de la demanda el accionante manifiesta lo siguiente: </w:t>
      </w:r>
    </w:p>
    <w:p w:rsidR="00146B8A" w:rsidRPr="00862128" w:rsidRDefault="00862128" w:rsidP="00146B8A">
      <w:pPr>
        <w:pStyle w:val="Prrafodelista"/>
        <w:rPr>
          <w:rFonts w:ascii="Times New Roman" w:hAnsi="Times New Roman"/>
          <w:sz w:val="28"/>
          <w:szCs w:val="28"/>
        </w:rPr>
      </w:pPr>
    </w:p>
    <w:p w:rsidR="00146B8A" w:rsidRPr="00862128" w:rsidRDefault="00862128" w:rsidP="00146B8A">
      <w:pPr>
        <w:pStyle w:val="p1"/>
        <w:ind w:firstLine="720"/>
        <w:jc w:val="both"/>
        <w:rPr>
          <w:rFonts w:ascii="Times New Roman" w:hAnsi="Times New Roman"/>
          <w:sz w:val="28"/>
          <w:szCs w:val="28"/>
        </w:rPr>
      </w:pPr>
      <w:r w:rsidRPr="00862128">
        <w:rPr>
          <w:rFonts w:ascii="Times New Roman" w:hAnsi="Times New Roman"/>
          <w:sz w:val="28"/>
          <w:szCs w:val="28"/>
        </w:rPr>
        <w:t>“III. SÍNTESIS DE LA DEMANDA</w:t>
      </w:r>
    </w:p>
    <w:p w:rsidR="00146B8A" w:rsidRPr="00862128" w:rsidRDefault="00862128" w:rsidP="00146B8A">
      <w:pPr>
        <w:pStyle w:val="p1"/>
        <w:jc w:val="both"/>
        <w:rPr>
          <w:rFonts w:ascii="Times New Roman" w:hAnsi="Times New Roman"/>
          <w:sz w:val="28"/>
          <w:szCs w:val="28"/>
        </w:rPr>
      </w:pPr>
    </w:p>
    <w:p w:rsidR="00146B8A" w:rsidRPr="00862128" w:rsidRDefault="00862128" w:rsidP="00146B8A">
      <w:pPr>
        <w:pStyle w:val="p1"/>
        <w:ind w:left="720"/>
        <w:jc w:val="both"/>
        <w:rPr>
          <w:rFonts w:ascii="Times New Roman" w:hAnsi="Times New Roman"/>
          <w:sz w:val="28"/>
          <w:szCs w:val="28"/>
        </w:rPr>
      </w:pPr>
      <w:r w:rsidRPr="00862128">
        <w:rPr>
          <w:rFonts w:ascii="Times New Roman" w:hAnsi="Times New Roman"/>
          <w:sz w:val="28"/>
          <w:szCs w:val="28"/>
        </w:rPr>
        <w:t>Esta demanda se fundamenta en que el inciso tercero del par</w:t>
      </w:r>
      <w:r w:rsidRPr="00862128">
        <w:rPr>
          <w:rFonts w:ascii="Times New Roman" w:hAnsi="Times New Roman"/>
          <w:sz w:val="28"/>
          <w:szCs w:val="28"/>
        </w:rPr>
        <w:t>á</w:t>
      </w:r>
      <w:r w:rsidRPr="00862128">
        <w:rPr>
          <w:rFonts w:ascii="Times New Roman" w:hAnsi="Times New Roman"/>
          <w:sz w:val="28"/>
          <w:szCs w:val="28"/>
        </w:rPr>
        <w:t>grafo 3 del artículo 4</w:t>
      </w:r>
      <w:r w:rsidRPr="00862128">
        <w:rPr>
          <w:rFonts w:ascii="Times New Roman" w:hAnsi="Times New Roman"/>
          <w:sz w:val="28"/>
          <w:szCs w:val="28"/>
        </w:rPr>
        <w:t>5 de la Ley 1480 de 2011, adicionado por el artículo 7 de la Ley 2439 de 2024, establece un tratamiento discriminatorio e injustificado en materia del cómputo de intereses entre entidades que realizan operaciones de crédito a través de medios electrónicos.</w:t>
      </w:r>
      <w:r w:rsidRPr="00862128">
        <w:rPr>
          <w:rFonts w:ascii="Times New Roman" w:hAnsi="Times New Roman"/>
          <w:sz w:val="28"/>
          <w:szCs w:val="28"/>
        </w:rPr>
        <w:t xml:space="preserve"> Este trato diferenciado proviene de la regulación particular que estableció dicho parágrafo para "las operaciones de crédito otorgadas por personas naturales o jurídicas cuyo control y vigilancia sobre su actividad crediticia no haya sido asignada a algun</w:t>
      </w:r>
      <w:r w:rsidRPr="00862128">
        <w:rPr>
          <w:rFonts w:ascii="Times New Roman" w:hAnsi="Times New Roman"/>
          <w:sz w:val="28"/>
          <w:szCs w:val="28"/>
        </w:rPr>
        <w:t xml:space="preserve">a autoridad administrativa en particular", al excluir específicamente los cargos por "firma electrónica" de los rubros que se reputan intereses para estas entidades, mientras que las entidades vigiladas deben incluirlos en el cómputo de intereses según el </w:t>
      </w:r>
      <w:r w:rsidRPr="00862128">
        <w:rPr>
          <w:rFonts w:ascii="Times New Roman" w:hAnsi="Times New Roman"/>
          <w:sz w:val="28"/>
          <w:szCs w:val="28"/>
        </w:rPr>
        <w:t>régimen general establecido en el artículo 68 de la Ley 45 de 1990.”</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81"/>
      </w:r>
    </w:p>
    <w:p w:rsidR="00750770" w:rsidRPr="00862128" w:rsidRDefault="00862128" w:rsidP="00117CF9">
      <w:pPr>
        <w:pStyle w:val="Prrafodelista"/>
        <w:tabs>
          <w:tab w:val="left" w:pos="567"/>
        </w:tabs>
        <w:ind w:left="0"/>
        <w:jc w:val="both"/>
        <w:rPr>
          <w:rFonts w:ascii="Times New Roman" w:hAnsi="Times New Roman"/>
          <w:sz w:val="28"/>
          <w:szCs w:val="28"/>
        </w:rPr>
      </w:pPr>
    </w:p>
    <w:p w:rsidR="00F53257" w:rsidRPr="00862128" w:rsidRDefault="00862128" w:rsidP="00F53257">
      <w:pPr>
        <w:pStyle w:val="Prrafodelista"/>
        <w:tabs>
          <w:tab w:val="left" w:pos="567"/>
        </w:tabs>
        <w:ind w:left="0"/>
        <w:jc w:val="both"/>
        <w:rPr>
          <w:rFonts w:ascii="Times New Roman" w:hAnsi="Times New Roman"/>
          <w:sz w:val="28"/>
          <w:szCs w:val="28"/>
        </w:rPr>
      </w:pPr>
    </w:p>
    <w:p w:rsidR="00F53257" w:rsidRPr="00862128" w:rsidRDefault="00862128" w:rsidP="003664DF">
      <w:pPr>
        <w:rPr>
          <w:rFonts w:ascii="Times New Roman" w:hAnsi="Times New Roman"/>
          <w:b/>
          <w:bCs/>
          <w:i/>
          <w:iCs/>
          <w:sz w:val="28"/>
          <w:lang w:val="es-ES_tradnl"/>
        </w:rPr>
      </w:pPr>
      <w:r w:rsidRPr="00862128">
        <w:rPr>
          <w:rFonts w:ascii="Times New Roman" w:hAnsi="Times New Roman"/>
          <w:b/>
          <w:bCs/>
          <w:i/>
          <w:iCs/>
          <w:sz w:val="28"/>
          <w:szCs w:val="28"/>
          <w:lang w:val="es-ES_tradnl"/>
        </w:rPr>
        <w:t xml:space="preserve">El cargo sobre violación al principio a la igualdad </w:t>
      </w:r>
      <w:r w:rsidRPr="00862128">
        <w:rPr>
          <w:rFonts w:ascii="Times New Roman" w:hAnsi="Times New Roman"/>
          <w:b/>
          <w:bCs/>
          <w:i/>
          <w:iCs/>
          <w:sz w:val="28"/>
          <w:szCs w:val="28"/>
          <w:lang w:val="es-ES_tradnl"/>
        </w:rPr>
        <w:t xml:space="preserve">no </w:t>
      </w:r>
      <w:r w:rsidRPr="00862128">
        <w:rPr>
          <w:rFonts w:ascii="Times New Roman" w:hAnsi="Times New Roman"/>
          <w:b/>
          <w:bCs/>
          <w:i/>
          <w:iCs/>
          <w:sz w:val="28"/>
          <w:szCs w:val="28"/>
          <w:lang w:val="es-ES_tradnl"/>
        </w:rPr>
        <w:t>acredita un trato diferencial del ordenamiento jurídico</w:t>
      </w:r>
    </w:p>
    <w:p w:rsidR="00F53257" w:rsidRPr="00862128" w:rsidRDefault="00862128" w:rsidP="00F53257">
      <w:pPr>
        <w:pStyle w:val="Prrafodelista"/>
        <w:rPr>
          <w:rFonts w:ascii="Times New Roman" w:hAnsi="Times New Roman"/>
          <w:sz w:val="28"/>
          <w:szCs w:val="28"/>
          <w:lang w:val="es-ES_tradnl"/>
        </w:rPr>
      </w:pPr>
    </w:p>
    <w:p w:rsidR="00F53257" w:rsidRPr="00862128" w:rsidRDefault="00862128" w:rsidP="00210AE7">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lang w:val="es-ES_tradnl"/>
        </w:rPr>
        <w:t>La Corte ha señalado que “</w:t>
      </w:r>
      <w:r w:rsidRPr="00862128">
        <w:rPr>
          <w:rFonts w:ascii="Times New Roman" w:hAnsi="Times New Roman"/>
          <w:sz w:val="28"/>
          <w:szCs w:val="28"/>
        </w:rPr>
        <w:t xml:space="preserve">la correcta estructuración del cargo por </w:t>
      </w:r>
      <w:r w:rsidRPr="00862128">
        <w:rPr>
          <w:rFonts w:ascii="Times New Roman" w:hAnsi="Times New Roman"/>
          <w:sz w:val="28"/>
          <w:szCs w:val="28"/>
        </w:rPr>
        <w:t xml:space="preserve">vulneración del principio de igualdad requiere del demandante una importante carga argumentativa, la cual debe caracterizarse por tener un alto grado de precisión en beneficio de la suficiencia del cargo. Porque (…) esta exigencia lo que busca proteger en </w:t>
      </w:r>
      <w:r w:rsidRPr="00862128">
        <w:rPr>
          <w:rFonts w:ascii="Times New Roman" w:hAnsi="Times New Roman"/>
          <w:sz w:val="28"/>
          <w:szCs w:val="28"/>
        </w:rPr>
        <w:t>últimas es la libertad de configuración legislativa que sólo se vería inicialmente menguada cuando se esté en presencia de ‘criterios sospechosos de discriminación”</w:t>
      </w:r>
      <w:r w:rsidRPr="00862128">
        <w:rPr>
          <w:rFonts w:ascii="Times New Roman" w:hAnsi="Times New Roman"/>
          <w:sz w:val="28"/>
          <w:szCs w:val="28"/>
          <w:lang w:val="es-ES_tradnl"/>
        </w:rPr>
        <w:t>.</w:t>
      </w:r>
      <w:r w:rsidRPr="00862128">
        <w:rPr>
          <w:rFonts w:ascii="Times New Roman" w:hAnsi="Times New Roman"/>
          <w:sz w:val="28"/>
          <w:szCs w:val="28"/>
          <w:vertAlign w:val="superscript"/>
          <w:lang w:val="es-ES"/>
        </w:rPr>
        <w:footnoteReference w:id="82"/>
      </w:r>
      <w:r w:rsidRPr="00862128">
        <w:rPr>
          <w:rFonts w:ascii="Times New Roman" w:hAnsi="Times New Roman"/>
          <w:sz w:val="28"/>
          <w:szCs w:val="28"/>
          <w:lang w:val="es-ES_tradnl"/>
        </w:rPr>
        <w:t xml:space="preserve">En el presente caso </w:t>
      </w:r>
      <w:r w:rsidRPr="00862128">
        <w:rPr>
          <w:rFonts w:ascii="Times New Roman" w:hAnsi="Times New Roman"/>
          <w:sz w:val="28"/>
          <w:szCs w:val="28"/>
          <w:lang w:val="es-ES_tradnl"/>
        </w:rPr>
        <w:t>se argument</w:t>
      </w:r>
      <w:r w:rsidRPr="00862128">
        <w:rPr>
          <w:rFonts w:ascii="Times New Roman" w:hAnsi="Times New Roman"/>
          <w:sz w:val="28"/>
          <w:szCs w:val="28"/>
          <w:lang w:val="es-ES_tradnl"/>
        </w:rPr>
        <w:t>a</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la presunta violación del derecho a la igualdad</w:t>
      </w:r>
      <w:r w:rsidRPr="00862128">
        <w:rPr>
          <w:rFonts w:ascii="Times New Roman" w:hAnsi="Times New Roman"/>
          <w:sz w:val="28"/>
          <w:szCs w:val="28"/>
          <w:lang w:val="es-ES_tradnl"/>
        </w:rPr>
        <w:t xml:space="preserve">, razón por la cual </w:t>
      </w:r>
      <w:r w:rsidRPr="00862128">
        <w:rPr>
          <w:rFonts w:ascii="Times New Roman" w:hAnsi="Times New Roman"/>
          <w:sz w:val="28"/>
          <w:szCs w:val="28"/>
          <w:lang w:eastAsia="es-ES_tradnl"/>
        </w:rPr>
        <w:t xml:space="preserve">el accionante debe: </w:t>
      </w:r>
      <w:r w:rsidRPr="00862128">
        <w:rPr>
          <w:rFonts w:ascii="Times New Roman" w:hAnsi="Times New Roman"/>
          <w:sz w:val="28"/>
          <w:szCs w:val="28"/>
          <w:lang w:val="es-ES_tradnl" w:eastAsia="es-ES_tradnl"/>
        </w:rPr>
        <w:t xml:space="preserve">(i) identificar los grupos o situaciones que, en su criterio, son comparables; (ii) </w:t>
      </w:r>
      <w:r w:rsidRPr="00862128">
        <w:rPr>
          <w:rFonts w:ascii="Times New Roman" w:hAnsi="Times New Roman"/>
          <w:sz w:val="28"/>
          <w:szCs w:val="28"/>
          <w:lang w:eastAsia="es-ES_tradnl"/>
        </w:rPr>
        <w:t xml:space="preserve">explicar las razones por las que los grupos o situaciones son comparables; (iii) </w:t>
      </w:r>
      <w:r w:rsidRPr="00862128">
        <w:rPr>
          <w:rFonts w:ascii="Times New Roman" w:hAnsi="Times New Roman"/>
          <w:sz w:val="28"/>
          <w:szCs w:val="28"/>
          <w:lang w:val="es-ES_tradnl" w:eastAsia="es-ES_tradnl"/>
        </w:rPr>
        <w:t>precisar cuál es el trato diferencial que el ordena</w:t>
      </w:r>
      <w:r w:rsidRPr="00862128">
        <w:rPr>
          <w:rFonts w:ascii="Times New Roman" w:hAnsi="Times New Roman"/>
          <w:sz w:val="28"/>
          <w:szCs w:val="28"/>
          <w:lang w:val="es-ES_tradnl" w:eastAsia="es-ES_tradnl"/>
        </w:rPr>
        <w:t>miento jurídico prevé o que fue introducido por la disposición acusada y, finalmente, (iv) señalar la razón por la cual, en su opinión y con fundamento en el ordenamiento, el trato no está constitucionalmente justificado</w:t>
      </w:r>
      <w:r w:rsidRPr="00862128">
        <w:rPr>
          <w:rFonts w:ascii="Times New Roman" w:hAnsi="Times New Roman"/>
          <w:sz w:val="28"/>
          <w:szCs w:val="28"/>
          <w:vertAlign w:val="superscript"/>
          <w:lang w:val="es-ES_tradnl" w:eastAsia="es-ES_tradnl"/>
        </w:rPr>
        <w:footnoteReference w:id="83"/>
      </w:r>
      <w:r w:rsidRPr="00862128">
        <w:rPr>
          <w:rFonts w:ascii="Times New Roman" w:hAnsi="Times New Roman"/>
          <w:sz w:val="28"/>
          <w:szCs w:val="28"/>
          <w:lang w:val="es-ES_tradnl" w:eastAsia="es-ES_tradnl"/>
        </w:rPr>
        <w:t xml:space="preserve">. </w:t>
      </w:r>
    </w:p>
    <w:p w:rsidR="00F51921" w:rsidRPr="00862128" w:rsidRDefault="00862128" w:rsidP="00F51921">
      <w:pPr>
        <w:pStyle w:val="Prrafodelista"/>
        <w:tabs>
          <w:tab w:val="left" w:pos="567"/>
        </w:tabs>
        <w:ind w:left="0"/>
        <w:jc w:val="both"/>
        <w:rPr>
          <w:rFonts w:ascii="Times New Roman" w:hAnsi="Times New Roman"/>
          <w:sz w:val="28"/>
          <w:szCs w:val="28"/>
          <w:lang w:val="es-ES_tradnl"/>
        </w:rPr>
      </w:pPr>
    </w:p>
    <w:p w:rsidR="00573FBD" w:rsidRPr="00862128" w:rsidRDefault="00862128" w:rsidP="00DF3183">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lang w:val="es-ES_tradnl"/>
        </w:rPr>
        <w:t xml:space="preserve">El accionante afirma que se </w:t>
      </w:r>
      <w:r w:rsidRPr="00862128">
        <w:rPr>
          <w:rFonts w:ascii="Times New Roman" w:hAnsi="Times New Roman"/>
          <w:sz w:val="28"/>
          <w:szCs w:val="28"/>
          <w:lang w:val="es-ES_tradnl"/>
        </w:rPr>
        <w:t>vulnera el principio de igualdad porque “</w:t>
      </w:r>
      <w:r w:rsidRPr="00862128">
        <w:rPr>
          <w:rFonts w:ascii="Times New Roman" w:hAnsi="Times New Roman"/>
          <w:sz w:val="28"/>
          <w:szCs w:val="28"/>
        </w:rPr>
        <w:t>s</w:t>
      </w:r>
      <w:r w:rsidRPr="00862128">
        <w:rPr>
          <w:rFonts w:ascii="Times New Roman" w:hAnsi="Times New Roman"/>
          <w:sz w:val="28"/>
          <w:szCs w:val="28"/>
        </w:rPr>
        <w:t>i el crédito es otorgado por personas naturales o jurídicas cuyo control y vigilancia sobre su actividad crediticia no han sido asignados a alguna autoridad administrativa en particular, la firma electrónica se enc</w:t>
      </w:r>
      <w:r w:rsidRPr="00862128">
        <w:rPr>
          <w:rFonts w:ascii="Times New Roman" w:hAnsi="Times New Roman"/>
          <w:sz w:val="28"/>
          <w:szCs w:val="28"/>
        </w:rPr>
        <w:t>uentra excluida del cómputo de los intereses. Por el contrario, si la entidad otorgante se encuentra vigilada por una entidad específica, como es el caso de aquellas sujetas al control y vigilancia de la Superintendencia Financiera, le aplica el régimen ge</w:t>
      </w:r>
      <w:r w:rsidRPr="00862128">
        <w:rPr>
          <w:rFonts w:ascii="Times New Roman" w:hAnsi="Times New Roman"/>
          <w:sz w:val="28"/>
          <w:szCs w:val="28"/>
        </w:rPr>
        <w:t>neral y, acorde con este, el costo de la firma electrónica deberá incluirse dentro del cálculo de los intereses”</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84"/>
      </w:r>
      <w:r w:rsidRPr="00862128">
        <w:rPr>
          <w:rFonts w:ascii="Times New Roman" w:hAnsi="Times New Roman"/>
          <w:sz w:val="28"/>
          <w:szCs w:val="28"/>
        </w:rPr>
        <w:t xml:space="preserve">. </w:t>
      </w:r>
    </w:p>
    <w:p w:rsidR="00573FBD" w:rsidRPr="00862128" w:rsidRDefault="00862128" w:rsidP="00573FBD">
      <w:pPr>
        <w:pStyle w:val="Prrafodelista"/>
        <w:tabs>
          <w:tab w:val="left" w:pos="567"/>
        </w:tabs>
        <w:ind w:left="0"/>
        <w:jc w:val="both"/>
        <w:rPr>
          <w:rFonts w:ascii="Times New Roman" w:hAnsi="Times New Roman"/>
          <w:sz w:val="28"/>
          <w:szCs w:val="28"/>
          <w:lang w:val="es-ES_tradnl"/>
        </w:rPr>
      </w:pPr>
    </w:p>
    <w:p w:rsidR="00573FBD" w:rsidRPr="00862128" w:rsidRDefault="00862128" w:rsidP="00BB2648">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lang w:val="es-ES_tradnl"/>
        </w:rPr>
        <w:t xml:space="preserve">Como se observa, </w:t>
      </w:r>
      <w:r w:rsidRPr="00862128">
        <w:rPr>
          <w:rFonts w:ascii="Times New Roman" w:hAnsi="Times New Roman"/>
          <w:sz w:val="28"/>
          <w:szCs w:val="28"/>
          <w:lang w:val="es-ES_tradnl"/>
        </w:rPr>
        <w:t xml:space="preserve">para fundar el cargo, </w:t>
      </w:r>
      <w:r w:rsidRPr="00862128">
        <w:rPr>
          <w:rFonts w:ascii="Times New Roman" w:hAnsi="Times New Roman"/>
          <w:sz w:val="28"/>
          <w:szCs w:val="28"/>
          <w:lang w:val="es-ES_tradnl"/>
        </w:rPr>
        <w:t xml:space="preserve">el accionante </w:t>
      </w:r>
      <w:r w:rsidRPr="00862128">
        <w:rPr>
          <w:rFonts w:ascii="Times New Roman" w:hAnsi="Times New Roman"/>
          <w:sz w:val="28"/>
          <w:szCs w:val="28"/>
          <w:lang w:val="es-ES_tradnl"/>
        </w:rPr>
        <w:t xml:space="preserve">estima </w:t>
      </w:r>
      <w:r w:rsidRPr="00862128">
        <w:rPr>
          <w:rFonts w:ascii="Times New Roman" w:hAnsi="Times New Roman"/>
          <w:sz w:val="28"/>
          <w:szCs w:val="28"/>
          <w:lang w:val="es-ES_tradnl"/>
        </w:rPr>
        <w:t xml:space="preserve">que el costo de la firma electrónica es obligatorio incluirlo en el cálculo de los intereses de los créditos que otorgan las entidades vigiladas por la Superintendencia Financiera. Sostiene lo mismo al </w:t>
      </w:r>
      <w:r w:rsidRPr="00862128">
        <w:rPr>
          <w:rFonts w:ascii="Times New Roman" w:hAnsi="Times New Roman"/>
          <w:sz w:val="28"/>
          <w:szCs w:val="28"/>
          <w:lang w:val="es-ES_tradnl"/>
        </w:rPr>
        <w:t>hacer referencia a la identificación del trato diferen</w:t>
      </w:r>
      <w:r w:rsidRPr="00862128">
        <w:rPr>
          <w:rFonts w:ascii="Times New Roman" w:hAnsi="Times New Roman"/>
          <w:sz w:val="28"/>
          <w:szCs w:val="28"/>
          <w:lang w:val="es-ES_tradnl"/>
        </w:rPr>
        <w:t>ciado</w:t>
      </w:r>
      <w:r w:rsidRPr="00862128">
        <w:rPr>
          <w:rFonts w:ascii="Times New Roman" w:hAnsi="Times New Roman"/>
          <w:sz w:val="28"/>
          <w:szCs w:val="28"/>
          <w:lang w:val="es-ES_tradnl"/>
        </w:rPr>
        <w:t xml:space="preserve">: </w:t>
      </w:r>
    </w:p>
    <w:p w:rsidR="00F51921" w:rsidRPr="00862128" w:rsidRDefault="00862128" w:rsidP="00F51921">
      <w:pPr>
        <w:pStyle w:val="Prrafodelista"/>
        <w:tabs>
          <w:tab w:val="left" w:pos="567"/>
        </w:tabs>
        <w:ind w:left="0"/>
        <w:jc w:val="both"/>
        <w:rPr>
          <w:rFonts w:ascii="Times New Roman" w:hAnsi="Times New Roman"/>
          <w:sz w:val="28"/>
          <w:szCs w:val="28"/>
          <w:lang w:val="es-ES_tradnl"/>
        </w:rPr>
      </w:pPr>
    </w:p>
    <w:p w:rsidR="00573FBD" w:rsidRPr="00862128" w:rsidRDefault="00862128" w:rsidP="00573FBD">
      <w:pPr>
        <w:pStyle w:val="p1"/>
        <w:ind w:left="720"/>
        <w:jc w:val="both"/>
        <w:rPr>
          <w:rFonts w:ascii="Times New Roman" w:hAnsi="Times New Roman"/>
          <w:sz w:val="28"/>
          <w:szCs w:val="28"/>
        </w:rPr>
      </w:pPr>
      <w:r w:rsidRPr="00862128">
        <w:rPr>
          <w:rFonts w:ascii="Times New Roman" w:hAnsi="Times New Roman"/>
          <w:sz w:val="28"/>
          <w:szCs w:val="28"/>
        </w:rPr>
        <w:t>“(…)</w:t>
      </w:r>
      <w:r w:rsidRPr="00862128">
        <w:rPr>
          <w:rFonts w:ascii="Times New Roman" w:hAnsi="Times New Roman"/>
          <w:sz w:val="28"/>
          <w:szCs w:val="28"/>
        </w:rPr>
        <w:t xml:space="preserve"> </w:t>
      </w:r>
      <w:r w:rsidRPr="00862128">
        <w:rPr>
          <w:rFonts w:ascii="Times New Roman" w:hAnsi="Times New Roman"/>
          <w:sz w:val="28"/>
          <w:szCs w:val="28"/>
        </w:rPr>
        <w:t>el trato diferenciado se deriva del inciso tercero del par</w:t>
      </w:r>
      <w:r w:rsidRPr="00862128">
        <w:rPr>
          <w:rFonts w:ascii="Times New Roman" w:hAnsi="Times New Roman"/>
          <w:sz w:val="28"/>
          <w:szCs w:val="28"/>
        </w:rPr>
        <w:t>á</w:t>
      </w:r>
      <w:r w:rsidRPr="00862128">
        <w:rPr>
          <w:rFonts w:ascii="Times New Roman" w:hAnsi="Times New Roman"/>
          <w:sz w:val="28"/>
          <w:szCs w:val="28"/>
        </w:rPr>
        <w:t xml:space="preserve">grafo 3 del artículo 45 de la Ley 1480 de 2011, adicionado por el artículo 7 de la Ley 2439 de 2024. Como se explicó previamente, esta disposición establece una excepción en relación </w:t>
      </w:r>
      <w:r w:rsidRPr="00862128">
        <w:rPr>
          <w:rFonts w:ascii="Times New Roman" w:hAnsi="Times New Roman"/>
          <w:sz w:val="28"/>
          <w:szCs w:val="28"/>
        </w:rPr>
        <w:t>con el régimen general del intereses, ya que, para las personas naturales o jurídicas que otorgan créditos mediante sistemas de financiación electrónicos y respecto de las cuales la vigilancia sobre su actividad crediticia no ha sido asignada a alguna auto</w:t>
      </w:r>
      <w:r w:rsidRPr="00862128">
        <w:rPr>
          <w:rFonts w:ascii="Times New Roman" w:hAnsi="Times New Roman"/>
          <w:sz w:val="28"/>
          <w:szCs w:val="28"/>
        </w:rPr>
        <w:t>ridad administrativa en particular, fija la pauta de que la firma electrónica no se reputara como interés, siempre que esa situación haya sido debidamente informada al consumidor.</w:t>
      </w:r>
    </w:p>
    <w:p w:rsidR="00573FBD" w:rsidRPr="00862128" w:rsidRDefault="00862128" w:rsidP="00573FBD">
      <w:pPr>
        <w:pStyle w:val="p1"/>
        <w:jc w:val="both"/>
        <w:rPr>
          <w:rFonts w:ascii="Times New Roman" w:hAnsi="Times New Roman"/>
          <w:sz w:val="28"/>
          <w:szCs w:val="28"/>
        </w:rPr>
      </w:pPr>
    </w:p>
    <w:p w:rsidR="00573FBD" w:rsidRPr="00862128" w:rsidRDefault="00862128" w:rsidP="00573FBD">
      <w:pPr>
        <w:pStyle w:val="p1"/>
        <w:ind w:left="720"/>
        <w:jc w:val="both"/>
        <w:rPr>
          <w:rFonts w:ascii="Times New Roman" w:hAnsi="Times New Roman"/>
          <w:sz w:val="28"/>
          <w:szCs w:val="28"/>
        </w:rPr>
      </w:pPr>
      <w:r w:rsidRPr="00862128">
        <w:rPr>
          <w:rFonts w:ascii="Times New Roman" w:hAnsi="Times New Roman"/>
          <w:sz w:val="28"/>
          <w:szCs w:val="28"/>
        </w:rPr>
        <w:t>En contraste, en el caso de las entidades vigiladas por la Superintendencia</w:t>
      </w:r>
      <w:r w:rsidRPr="00862128">
        <w:rPr>
          <w:rFonts w:ascii="Times New Roman" w:hAnsi="Times New Roman"/>
          <w:sz w:val="28"/>
          <w:szCs w:val="28"/>
        </w:rPr>
        <w:t xml:space="preserve"> Financiera, la firma electrónica sí debe computarse como interés, de conformidad con el régimen general establecido por el artículo 68 de la Ley  45 de 1990, según el cual se reputan intereses "las sumas que el deudor pague por concepto de servicios vincu</w:t>
      </w:r>
      <w:r w:rsidRPr="00862128">
        <w:rPr>
          <w:rFonts w:ascii="Times New Roman" w:hAnsi="Times New Roman"/>
          <w:sz w:val="28"/>
          <w:szCs w:val="28"/>
        </w:rPr>
        <w:t>lados directamente con el crédito en exceso de las sumas que señale el reglamento"</w:t>
      </w:r>
    </w:p>
    <w:p w:rsidR="00573FBD" w:rsidRPr="00862128" w:rsidRDefault="00862128" w:rsidP="00573FBD">
      <w:pPr>
        <w:pStyle w:val="p1"/>
        <w:jc w:val="both"/>
        <w:rPr>
          <w:rFonts w:ascii="Times New Roman" w:hAnsi="Times New Roman"/>
          <w:sz w:val="28"/>
          <w:szCs w:val="28"/>
        </w:rPr>
      </w:pPr>
    </w:p>
    <w:p w:rsidR="00573FBD" w:rsidRPr="00862128" w:rsidRDefault="00862128" w:rsidP="00573FBD">
      <w:pPr>
        <w:pStyle w:val="p1"/>
        <w:ind w:left="720"/>
        <w:jc w:val="both"/>
        <w:rPr>
          <w:rFonts w:ascii="Times New Roman" w:hAnsi="Times New Roman"/>
          <w:sz w:val="28"/>
          <w:szCs w:val="28"/>
        </w:rPr>
      </w:pPr>
      <w:r w:rsidRPr="00862128">
        <w:rPr>
          <w:rFonts w:ascii="Times New Roman" w:hAnsi="Times New Roman"/>
          <w:sz w:val="28"/>
          <w:szCs w:val="28"/>
        </w:rPr>
        <w:t xml:space="preserve">La norma demandada establece así una distinción clara entre ambos grupos de entidades, permitiendo a aquellas personas que no son sujetas de la vigilancia de una autoridad </w:t>
      </w:r>
      <w:r w:rsidRPr="00862128">
        <w:rPr>
          <w:rFonts w:ascii="Times New Roman" w:hAnsi="Times New Roman"/>
          <w:sz w:val="28"/>
          <w:szCs w:val="28"/>
        </w:rPr>
        <w:t>específica excluir del cómputo de intereses un concepto (la firma electrónica) que las entidades vigiladas deben necesariamente incluir”</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85"/>
      </w:r>
    </w:p>
    <w:p w:rsidR="00573FBD" w:rsidRPr="00862128" w:rsidRDefault="00862128" w:rsidP="00573FBD">
      <w:pPr>
        <w:tabs>
          <w:tab w:val="left" w:pos="567"/>
        </w:tabs>
        <w:jc w:val="both"/>
        <w:rPr>
          <w:rFonts w:ascii="Times New Roman" w:hAnsi="Times New Roman"/>
          <w:sz w:val="28"/>
          <w:szCs w:val="28"/>
          <w:lang w:val="es-ES_tradnl"/>
        </w:rPr>
      </w:pPr>
    </w:p>
    <w:p w:rsidR="00573FBD" w:rsidRPr="00862128" w:rsidRDefault="00862128" w:rsidP="00117CF9">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 xml:space="preserve">Al justificar la ausencia de un medio constitucional legítimo, el accionante considera que </w:t>
      </w:r>
      <w:r w:rsidRPr="00862128">
        <w:rPr>
          <w:rFonts w:ascii="Times New Roman" w:hAnsi="Times New Roman"/>
          <w:sz w:val="28"/>
          <w:szCs w:val="28"/>
          <w:lang w:val="es-ES_tradnl"/>
        </w:rPr>
        <w:t>“</w:t>
      </w:r>
      <w:r w:rsidRPr="00862128">
        <w:rPr>
          <w:rFonts w:ascii="Times New Roman" w:hAnsi="Times New Roman"/>
          <w:sz w:val="28"/>
          <w:szCs w:val="28"/>
          <w:lang w:val="es-ES_tradnl"/>
        </w:rPr>
        <w:sym w:font="Symbol" w:char="F05B"/>
      </w:r>
      <w:r w:rsidRPr="00862128">
        <w:rPr>
          <w:rFonts w:ascii="Times New Roman" w:hAnsi="Times New Roman"/>
          <w:sz w:val="28"/>
          <w:szCs w:val="28"/>
          <w:lang w:val="es-ES_tradnl"/>
        </w:rPr>
        <w:t>e</w:t>
      </w:r>
      <w:r w:rsidRPr="00862128">
        <w:rPr>
          <w:rFonts w:ascii="Times New Roman" w:hAnsi="Times New Roman"/>
          <w:sz w:val="28"/>
          <w:szCs w:val="28"/>
          <w:lang w:val="es-ES_tradnl"/>
        </w:rPr>
        <w:sym w:font="Symbol" w:char="F05D"/>
      </w:r>
      <w:r w:rsidRPr="00862128">
        <w:rPr>
          <w:rFonts w:ascii="Times New Roman" w:hAnsi="Times New Roman"/>
          <w:sz w:val="28"/>
          <w:szCs w:val="28"/>
          <w:lang w:val="es-ES_tradnl"/>
        </w:rPr>
        <w:t>n este caso, el medio</w:t>
      </w:r>
      <w:r w:rsidRPr="00862128">
        <w:rPr>
          <w:rFonts w:ascii="Times New Roman" w:hAnsi="Times New Roman"/>
          <w:sz w:val="28"/>
          <w:szCs w:val="28"/>
          <w:lang w:val="es-ES_tradnl"/>
        </w:rPr>
        <w:t xml:space="preserve"> empleado consiste en establecer un trato diferenciado en el cómputo de intereses, según el cual los cargos asociados a la "firma electrónica" no se reputan como interés cuando son cobrados por entidades cuya vigilancia no ha sido asignada a una autoridad </w:t>
      </w:r>
      <w:r w:rsidRPr="00862128">
        <w:rPr>
          <w:rFonts w:ascii="Times New Roman" w:hAnsi="Times New Roman"/>
          <w:sz w:val="28"/>
          <w:szCs w:val="28"/>
          <w:lang w:val="es-ES_tradnl"/>
        </w:rPr>
        <w:t>específica, mientras que sí deben computarse como interés cuando son cobrados por entidades vigiladas por una entidad administrativa en particular, como es el caso de las entidades financieras vigiladas por la Superintendencia Financiera de Colombia</w:t>
      </w:r>
      <w:r w:rsidRPr="00862128">
        <w:rPr>
          <w:rFonts w:ascii="Times New Roman" w:hAnsi="Times New Roman"/>
          <w:sz w:val="28"/>
          <w:szCs w:val="28"/>
          <w:lang w:val="es-ES_tradnl"/>
        </w:rPr>
        <w:t>.</w:t>
      </w:r>
      <w:r w:rsidRPr="00862128">
        <w:rPr>
          <w:rFonts w:ascii="Times New Roman" w:hAnsi="Times New Roman"/>
          <w:sz w:val="28"/>
          <w:szCs w:val="28"/>
          <w:lang w:val="es-ES_tradnl"/>
        </w:rPr>
        <w:t>”</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86"/>
      </w:r>
    </w:p>
    <w:p w:rsidR="00573FBD" w:rsidRPr="00862128" w:rsidRDefault="00862128" w:rsidP="00573FBD">
      <w:pPr>
        <w:pStyle w:val="Prrafodelista"/>
        <w:tabs>
          <w:tab w:val="left" w:pos="567"/>
        </w:tabs>
        <w:ind w:left="0"/>
        <w:jc w:val="both"/>
        <w:rPr>
          <w:rFonts w:ascii="Times New Roman" w:hAnsi="Times New Roman"/>
          <w:sz w:val="28"/>
          <w:szCs w:val="28"/>
          <w:lang w:val="es-ES_tradnl"/>
        </w:rPr>
      </w:pPr>
    </w:p>
    <w:p w:rsidR="005F5FB7" w:rsidRPr="00862128" w:rsidRDefault="00862128" w:rsidP="00117CF9">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E</w:t>
      </w:r>
      <w:r w:rsidRPr="00862128">
        <w:rPr>
          <w:rFonts w:ascii="Times New Roman" w:hAnsi="Times New Roman"/>
          <w:sz w:val="28"/>
          <w:szCs w:val="28"/>
          <w:lang w:val="es-ES_tradnl"/>
        </w:rPr>
        <w:t>l demandante no acredita un trato diferencial del ordenamiento jurídico por las siguientes razones:</w:t>
      </w:r>
      <w:r w:rsidRPr="00862128">
        <w:rPr>
          <w:rFonts w:ascii="Times New Roman" w:hAnsi="Times New Roman"/>
          <w:sz w:val="28"/>
          <w:szCs w:val="28"/>
          <w:lang w:val="es-ES_tradnl"/>
        </w:rPr>
        <w:t xml:space="preserve"> (i) </w:t>
      </w:r>
      <w:r w:rsidRPr="00862128">
        <w:rPr>
          <w:rFonts w:ascii="Times New Roman" w:hAnsi="Times New Roman"/>
          <w:sz w:val="28"/>
          <w:szCs w:val="28"/>
          <w:lang w:val="es-ES_tradnl"/>
        </w:rPr>
        <w:t>e</w:t>
      </w:r>
      <w:r w:rsidRPr="00862128">
        <w:rPr>
          <w:rFonts w:ascii="Times New Roman" w:hAnsi="Times New Roman"/>
          <w:sz w:val="28"/>
          <w:szCs w:val="28"/>
          <w:lang w:val="es-ES_tradnl"/>
        </w:rPr>
        <w:t xml:space="preserve">l trato diferencial parte de una hipótesis interpretativa del artículo 68 de la Ley 45 de 1990; (ii) </w:t>
      </w:r>
      <w:r w:rsidRPr="00862128">
        <w:rPr>
          <w:rFonts w:ascii="Times New Roman" w:hAnsi="Times New Roman"/>
          <w:sz w:val="28"/>
          <w:szCs w:val="28"/>
          <w:lang w:val="es-ES_tradnl"/>
        </w:rPr>
        <w:t>l</w:t>
      </w:r>
      <w:r w:rsidRPr="00862128">
        <w:rPr>
          <w:rFonts w:ascii="Times New Roman" w:hAnsi="Times New Roman"/>
          <w:sz w:val="28"/>
          <w:szCs w:val="28"/>
          <w:lang w:val="es-ES_tradnl"/>
        </w:rPr>
        <w:t>a firma no es un requisito necesario para perfecc</w:t>
      </w:r>
      <w:r w:rsidRPr="00862128">
        <w:rPr>
          <w:rFonts w:ascii="Times New Roman" w:hAnsi="Times New Roman"/>
          <w:sz w:val="28"/>
          <w:szCs w:val="28"/>
          <w:lang w:val="es-ES_tradnl"/>
        </w:rPr>
        <w:t xml:space="preserve">ionar el contrato de mutuo y (iii) </w:t>
      </w:r>
      <w:r w:rsidRPr="00862128">
        <w:rPr>
          <w:rFonts w:ascii="Times New Roman" w:hAnsi="Times New Roman"/>
          <w:sz w:val="28"/>
          <w:szCs w:val="28"/>
          <w:lang w:val="es-ES_tradnl"/>
        </w:rPr>
        <w:t>l</w:t>
      </w:r>
      <w:r w:rsidRPr="00862128">
        <w:rPr>
          <w:rFonts w:ascii="Times New Roman" w:hAnsi="Times New Roman"/>
          <w:sz w:val="28"/>
          <w:szCs w:val="28"/>
          <w:lang w:val="es-ES_tradnl"/>
        </w:rPr>
        <w:t xml:space="preserve">a </w:t>
      </w:r>
      <w:r w:rsidRPr="00862128">
        <w:rPr>
          <w:rFonts w:ascii="Times New Roman" w:hAnsi="Times New Roman"/>
          <w:sz w:val="28"/>
          <w:szCs w:val="28"/>
          <w:lang w:val="es-ES_tradnl"/>
        </w:rPr>
        <w:t>L</w:t>
      </w:r>
      <w:r w:rsidRPr="00862128">
        <w:rPr>
          <w:rFonts w:ascii="Times New Roman" w:hAnsi="Times New Roman"/>
          <w:sz w:val="28"/>
          <w:szCs w:val="28"/>
          <w:lang w:val="es-ES_tradnl"/>
        </w:rPr>
        <w:t xml:space="preserve">ey 1480 de 2011 no es una norma excluyente, sino complementaria de la Ley 45 de 1990. </w:t>
      </w:r>
    </w:p>
    <w:p w:rsidR="005F5FB7" w:rsidRPr="00862128" w:rsidRDefault="00862128" w:rsidP="00F64B8A">
      <w:pPr>
        <w:rPr>
          <w:rFonts w:ascii="Times New Roman" w:hAnsi="Times New Roman"/>
          <w:sz w:val="28"/>
          <w:szCs w:val="28"/>
          <w:lang w:val="es-ES_tradnl"/>
        </w:rPr>
      </w:pPr>
    </w:p>
    <w:p w:rsidR="00F64B8A" w:rsidRPr="00862128" w:rsidRDefault="00862128" w:rsidP="00F64B8A">
      <w:pPr>
        <w:rPr>
          <w:rFonts w:ascii="Times New Roman" w:hAnsi="Times New Roman"/>
          <w:sz w:val="28"/>
          <w:szCs w:val="28"/>
          <w:lang w:val="es-ES_tradnl"/>
        </w:rPr>
      </w:pPr>
    </w:p>
    <w:p w:rsidR="00F64B8A" w:rsidRPr="00862128" w:rsidRDefault="00862128" w:rsidP="00383C21">
      <w:pPr>
        <w:jc w:val="both"/>
        <w:rPr>
          <w:rFonts w:ascii="Times New Roman" w:hAnsi="Times New Roman"/>
          <w:b/>
          <w:bCs/>
          <w:i/>
          <w:iCs/>
          <w:sz w:val="28"/>
          <w:lang w:val="es-ES_tradnl"/>
        </w:rPr>
      </w:pPr>
      <w:r w:rsidRPr="00862128">
        <w:rPr>
          <w:rFonts w:ascii="Times New Roman" w:hAnsi="Times New Roman"/>
          <w:b/>
          <w:bCs/>
          <w:i/>
          <w:iCs/>
          <w:sz w:val="28"/>
          <w:szCs w:val="28"/>
          <w:lang w:val="es-ES_tradnl"/>
        </w:rPr>
        <w:t>El trato diferencial parte de una hipótesis interpretativa del accionante respecto del artículo 68 de la Ley 45 de 1990</w:t>
      </w:r>
    </w:p>
    <w:p w:rsidR="00F64B8A" w:rsidRPr="00862128" w:rsidRDefault="00862128" w:rsidP="00F64B8A">
      <w:pPr>
        <w:rPr>
          <w:rFonts w:ascii="Times New Roman" w:hAnsi="Times New Roman"/>
          <w:sz w:val="28"/>
          <w:szCs w:val="28"/>
          <w:lang w:val="es-ES_tradnl"/>
        </w:rPr>
      </w:pPr>
    </w:p>
    <w:p w:rsidR="00C803F4" w:rsidRPr="00862128" w:rsidRDefault="00862128" w:rsidP="008331AE">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E</w:t>
      </w:r>
      <w:r w:rsidRPr="00862128">
        <w:rPr>
          <w:rFonts w:ascii="Times New Roman" w:hAnsi="Times New Roman"/>
          <w:sz w:val="28"/>
          <w:szCs w:val="28"/>
          <w:lang w:val="es-ES_tradnl"/>
        </w:rPr>
        <w:t xml:space="preserve">l </w:t>
      </w:r>
      <w:r w:rsidRPr="00862128">
        <w:rPr>
          <w:rFonts w:ascii="Times New Roman" w:hAnsi="Times New Roman"/>
          <w:sz w:val="28"/>
          <w:szCs w:val="28"/>
          <w:lang w:val="es-ES_tradnl"/>
        </w:rPr>
        <w:t xml:space="preserve">accionante estructura el argumento de </w:t>
      </w:r>
      <w:r w:rsidRPr="00862128">
        <w:rPr>
          <w:rFonts w:ascii="Times New Roman" w:hAnsi="Times New Roman"/>
          <w:sz w:val="28"/>
          <w:szCs w:val="28"/>
          <w:lang w:val="es-ES_tradnl"/>
        </w:rPr>
        <w:t xml:space="preserve">trato diferencial a partir de </w:t>
      </w:r>
      <w:r w:rsidRPr="00862128">
        <w:rPr>
          <w:rFonts w:ascii="Times New Roman" w:hAnsi="Times New Roman"/>
          <w:sz w:val="28"/>
          <w:szCs w:val="28"/>
          <w:lang w:val="es-ES_tradnl"/>
        </w:rPr>
        <w:t xml:space="preserve">su </w:t>
      </w:r>
      <w:r w:rsidRPr="00862128">
        <w:rPr>
          <w:rFonts w:ascii="Times New Roman" w:hAnsi="Times New Roman"/>
          <w:sz w:val="28"/>
          <w:szCs w:val="28"/>
          <w:lang w:val="es-ES_tradnl"/>
        </w:rPr>
        <w:t xml:space="preserve">opinión </w:t>
      </w:r>
      <w:r w:rsidRPr="00862128">
        <w:rPr>
          <w:rFonts w:ascii="Times New Roman" w:hAnsi="Times New Roman"/>
          <w:sz w:val="28"/>
          <w:szCs w:val="28"/>
          <w:lang w:val="es-ES_tradnl"/>
        </w:rPr>
        <w:t xml:space="preserve">respecto de la interpretación del </w:t>
      </w:r>
      <w:r w:rsidRPr="00862128">
        <w:rPr>
          <w:rFonts w:ascii="Times New Roman" w:hAnsi="Times New Roman"/>
          <w:sz w:val="28"/>
          <w:szCs w:val="28"/>
          <w:lang w:val="es-ES_tradnl"/>
        </w:rPr>
        <w:t>artículo 68</w:t>
      </w:r>
      <w:r w:rsidRPr="00862128">
        <w:rPr>
          <w:rFonts w:ascii="Times New Roman" w:hAnsi="Times New Roman"/>
          <w:sz w:val="28"/>
          <w:szCs w:val="28"/>
          <w:lang w:val="es-ES_tradnl"/>
        </w:rPr>
        <w:t xml:space="preserve"> de la Ley 45 de 1990</w:t>
      </w:r>
      <w:r w:rsidRPr="00862128">
        <w:rPr>
          <w:rFonts w:ascii="Times New Roman" w:hAnsi="Times New Roman"/>
          <w:sz w:val="28"/>
          <w:szCs w:val="28"/>
          <w:vertAlign w:val="superscript"/>
          <w:lang w:val="es-ES_tradnl"/>
        </w:rPr>
        <w:footnoteReference w:id="87"/>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y no de un mandato legal que expresamente obligue a las entidades vigiladas por la Superintendencia Financier</w:t>
      </w:r>
      <w:r w:rsidRPr="00862128">
        <w:rPr>
          <w:rFonts w:ascii="Times New Roman" w:hAnsi="Times New Roman"/>
          <w:sz w:val="28"/>
          <w:szCs w:val="28"/>
          <w:lang w:val="es-ES_tradnl"/>
        </w:rPr>
        <w:t xml:space="preserve">a a incluir la firma electrónica dentro de los cargos o rubros que hacen parte de los intereses. </w:t>
      </w:r>
    </w:p>
    <w:p w:rsidR="00175B8F" w:rsidRPr="00862128" w:rsidRDefault="00862128" w:rsidP="00175B8F">
      <w:pPr>
        <w:pStyle w:val="Prrafodelista"/>
        <w:tabs>
          <w:tab w:val="left" w:pos="567"/>
        </w:tabs>
        <w:ind w:left="0"/>
        <w:jc w:val="both"/>
        <w:rPr>
          <w:rFonts w:ascii="Times New Roman" w:hAnsi="Times New Roman"/>
          <w:sz w:val="28"/>
          <w:szCs w:val="28"/>
          <w:lang w:val="es-ES_tradnl"/>
        </w:rPr>
      </w:pPr>
    </w:p>
    <w:p w:rsidR="0003479A" w:rsidRPr="00862128" w:rsidRDefault="00862128" w:rsidP="001B3E79">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E</w:t>
      </w:r>
      <w:r w:rsidRPr="00862128">
        <w:rPr>
          <w:rFonts w:ascii="Times New Roman" w:hAnsi="Times New Roman"/>
          <w:sz w:val="28"/>
          <w:szCs w:val="28"/>
          <w:lang w:val="es-ES_tradnl"/>
        </w:rPr>
        <w:t xml:space="preserve">n efecto, la </w:t>
      </w:r>
      <w:r w:rsidRPr="00862128">
        <w:rPr>
          <w:rFonts w:ascii="Times New Roman" w:hAnsi="Times New Roman"/>
          <w:sz w:val="28"/>
          <w:szCs w:val="28"/>
          <w:lang w:val="es-ES_tradnl"/>
        </w:rPr>
        <w:t xml:space="preserve">argumentación partió de una conclusión inferida por </w:t>
      </w:r>
      <w:r w:rsidRPr="00862128">
        <w:rPr>
          <w:rFonts w:ascii="Times New Roman" w:hAnsi="Times New Roman"/>
          <w:sz w:val="28"/>
          <w:szCs w:val="28"/>
          <w:lang w:val="es-ES_tradnl"/>
        </w:rPr>
        <w:t>el demandante</w:t>
      </w:r>
      <w:r w:rsidRPr="00862128">
        <w:rPr>
          <w:rFonts w:ascii="Times New Roman" w:hAnsi="Times New Roman"/>
          <w:sz w:val="28"/>
          <w:szCs w:val="28"/>
          <w:lang w:val="es-ES_tradnl"/>
        </w:rPr>
        <w:t xml:space="preserve"> que no se desprende de</w:t>
      </w:r>
      <w:r w:rsidRPr="00862128">
        <w:rPr>
          <w:rFonts w:ascii="Times New Roman" w:hAnsi="Times New Roman"/>
          <w:sz w:val="28"/>
          <w:szCs w:val="28"/>
          <w:lang w:val="es-ES_tradnl"/>
        </w:rPr>
        <w:t>l texto expreso de</w:t>
      </w:r>
      <w:r w:rsidRPr="00862128">
        <w:rPr>
          <w:rFonts w:ascii="Times New Roman" w:hAnsi="Times New Roman"/>
          <w:sz w:val="28"/>
          <w:szCs w:val="28"/>
          <w:lang w:val="es-ES_tradnl"/>
        </w:rPr>
        <w:t xml:space="preserve"> la norma demandada sino de su </w:t>
      </w:r>
      <w:r w:rsidRPr="00862128">
        <w:rPr>
          <w:rFonts w:ascii="Times New Roman" w:hAnsi="Times New Roman"/>
          <w:sz w:val="28"/>
          <w:szCs w:val="28"/>
          <w:lang w:val="es-ES_tradnl"/>
        </w:rPr>
        <w:t>lectura</w:t>
      </w:r>
      <w:r w:rsidRPr="00862128">
        <w:rPr>
          <w:rFonts w:ascii="Times New Roman" w:hAnsi="Times New Roman"/>
          <w:sz w:val="28"/>
          <w:szCs w:val="28"/>
          <w:lang w:val="es-ES_tradnl"/>
        </w:rPr>
        <w:t xml:space="preserve"> personal</w:t>
      </w:r>
      <w:r w:rsidRPr="00862128">
        <w:rPr>
          <w:rFonts w:ascii="Times New Roman" w:hAnsi="Times New Roman"/>
          <w:sz w:val="28"/>
          <w:szCs w:val="28"/>
          <w:lang w:val="es-ES_tradnl"/>
        </w:rPr>
        <w:t xml:space="preserve"> de</w:t>
      </w:r>
      <w:r w:rsidRPr="00862128">
        <w:rPr>
          <w:rFonts w:ascii="Times New Roman" w:hAnsi="Times New Roman"/>
          <w:sz w:val="28"/>
          <w:szCs w:val="28"/>
          <w:lang w:val="es-ES_tradnl"/>
        </w:rPr>
        <w:t>l artículo 68 de la Ley 45 de 1990</w:t>
      </w:r>
      <w:r w:rsidRPr="00862128">
        <w:rPr>
          <w:rFonts w:ascii="Times New Roman" w:hAnsi="Times New Roman"/>
          <w:sz w:val="28"/>
          <w:szCs w:val="28"/>
          <w:lang w:val="es-ES_tradnl"/>
        </w:rPr>
        <w:t xml:space="preserve"> que utiliza como referencia para </w:t>
      </w:r>
      <w:r w:rsidRPr="00862128">
        <w:rPr>
          <w:rFonts w:ascii="Times New Roman" w:hAnsi="Times New Roman"/>
          <w:sz w:val="28"/>
          <w:szCs w:val="28"/>
          <w:lang w:val="es-ES_tradnl"/>
        </w:rPr>
        <w:t>debatir</w:t>
      </w:r>
      <w:r w:rsidRPr="00862128">
        <w:rPr>
          <w:rFonts w:ascii="Times New Roman" w:hAnsi="Times New Roman"/>
          <w:sz w:val="28"/>
          <w:szCs w:val="28"/>
          <w:lang w:val="es-ES_tradnl"/>
        </w:rPr>
        <w:t xml:space="preserve"> la constitucionalidad de la expresión “firma electrónica” contenida en </w:t>
      </w:r>
      <w:r w:rsidRPr="00862128">
        <w:rPr>
          <w:rFonts w:ascii="Times New Roman" w:hAnsi="Times New Roman"/>
          <w:sz w:val="28"/>
          <w:szCs w:val="28"/>
          <w:lang w:val="es-ES_tradnl"/>
        </w:rPr>
        <w:t>parágrafo 3 del artículo 45 de la Ley 1480 de 2011</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A</w:t>
      </w:r>
      <w:r w:rsidRPr="00862128">
        <w:rPr>
          <w:rFonts w:ascii="Times New Roman" w:hAnsi="Times New Roman"/>
          <w:sz w:val="28"/>
          <w:szCs w:val="28"/>
          <w:lang w:val="es-ES_tradnl"/>
        </w:rPr>
        <w:t xml:space="preserve"> lo largo de la demanda</w:t>
      </w:r>
      <w:r w:rsidRPr="00862128">
        <w:rPr>
          <w:rFonts w:ascii="Times New Roman" w:hAnsi="Times New Roman"/>
          <w:sz w:val="28"/>
          <w:szCs w:val="28"/>
          <w:lang w:val="es-ES_tradnl"/>
        </w:rPr>
        <w:t xml:space="preserve"> y de la corr</w:t>
      </w:r>
      <w:r w:rsidRPr="00862128">
        <w:rPr>
          <w:rFonts w:ascii="Times New Roman" w:hAnsi="Times New Roman"/>
          <w:sz w:val="28"/>
          <w:szCs w:val="28"/>
          <w:lang w:val="es-ES_tradnl"/>
        </w:rPr>
        <w:t xml:space="preserve">ección de </w:t>
      </w:r>
      <w:r w:rsidRPr="00862128">
        <w:rPr>
          <w:rFonts w:ascii="Times New Roman" w:hAnsi="Times New Roman"/>
          <w:sz w:val="28"/>
          <w:szCs w:val="28"/>
          <w:lang w:val="es-ES_tradnl"/>
        </w:rPr>
        <w:t>esta</w:t>
      </w:r>
      <w:r w:rsidRPr="00862128">
        <w:rPr>
          <w:rFonts w:ascii="Times New Roman" w:hAnsi="Times New Roman"/>
          <w:sz w:val="28"/>
          <w:szCs w:val="28"/>
          <w:lang w:val="es-ES_tradnl"/>
        </w:rPr>
        <w:t xml:space="preserve">, el accionante compara la norma </w:t>
      </w:r>
      <w:r w:rsidRPr="00862128">
        <w:rPr>
          <w:rFonts w:ascii="Times New Roman" w:hAnsi="Times New Roman"/>
          <w:sz w:val="28"/>
          <w:szCs w:val="28"/>
          <w:lang w:val="es-ES_tradnl"/>
        </w:rPr>
        <w:t>cuestionada</w:t>
      </w:r>
      <w:r w:rsidRPr="00862128">
        <w:rPr>
          <w:rFonts w:ascii="Times New Roman" w:hAnsi="Times New Roman"/>
          <w:sz w:val="28"/>
          <w:szCs w:val="28"/>
          <w:lang w:val="es-ES_tradnl"/>
        </w:rPr>
        <w:t xml:space="preserve"> con el artículo 68 de la Ley 45 de 1990. </w:t>
      </w:r>
      <w:r w:rsidRPr="00862128">
        <w:rPr>
          <w:rFonts w:ascii="Times New Roman" w:hAnsi="Times New Roman"/>
          <w:sz w:val="28"/>
          <w:szCs w:val="28"/>
          <w:lang w:val="es-ES_tradnl"/>
        </w:rPr>
        <w:t xml:space="preserve">A </w:t>
      </w:r>
      <w:r w:rsidRPr="00862128">
        <w:rPr>
          <w:rFonts w:ascii="Times New Roman" w:hAnsi="Times New Roman"/>
          <w:sz w:val="28"/>
          <w:szCs w:val="28"/>
          <w:lang w:val="es-ES_tradnl"/>
        </w:rPr>
        <w:t>continuación,</w:t>
      </w:r>
      <w:r w:rsidRPr="00862128">
        <w:rPr>
          <w:rFonts w:ascii="Times New Roman" w:hAnsi="Times New Roman"/>
          <w:sz w:val="28"/>
          <w:szCs w:val="28"/>
          <w:lang w:val="es-ES_tradnl"/>
        </w:rPr>
        <w:t xml:space="preserve"> se transcriben los citados artículos:</w:t>
      </w:r>
    </w:p>
    <w:p w:rsidR="00C803F4" w:rsidRPr="00862128" w:rsidRDefault="00862128" w:rsidP="00BE5143">
      <w:pPr>
        <w:pStyle w:val="Prrafodelista"/>
        <w:ind w:left="0" w:hanging="11"/>
        <w:rPr>
          <w:rFonts w:ascii="Times New Roman" w:hAnsi="Times New Roman"/>
          <w:sz w:val="28"/>
          <w:szCs w:val="28"/>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03479A" w:rsidRPr="00862128" w:rsidTr="00862128">
        <w:tc>
          <w:tcPr>
            <w:tcW w:w="4414" w:type="dxa"/>
            <w:shd w:val="clear" w:color="auto" w:fill="auto"/>
          </w:tcPr>
          <w:p w:rsidR="0003479A" w:rsidRPr="00862128" w:rsidRDefault="00862128" w:rsidP="00862128">
            <w:pPr>
              <w:pStyle w:val="Prrafodelista"/>
              <w:spacing w:after="0" w:line="240" w:lineRule="auto"/>
              <w:ind w:left="0"/>
              <w:rPr>
                <w:rFonts w:ascii="Times New Roman" w:hAnsi="Times New Roman"/>
                <w:sz w:val="28"/>
                <w:szCs w:val="24"/>
                <w:lang w:val="es-ES_tradnl"/>
              </w:rPr>
            </w:pPr>
            <w:r w:rsidRPr="00862128">
              <w:rPr>
                <w:rFonts w:ascii="Times New Roman" w:hAnsi="Times New Roman"/>
                <w:sz w:val="28"/>
                <w:szCs w:val="24"/>
                <w:lang w:val="es-ES_tradnl"/>
              </w:rPr>
              <w:t>Norma demandada</w:t>
            </w:r>
            <w:r w:rsidRPr="00862128">
              <w:rPr>
                <w:rFonts w:ascii="Times New Roman" w:hAnsi="Times New Roman"/>
                <w:sz w:val="28"/>
                <w:szCs w:val="24"/>
                <w:lang w:val="es-ES_tradnl"/>
              </w:rPr>
              <w:t>: expresión “</w:t>
            </w:r>
            <w:r w:rsidRPr="00862128">
              <w:rPr>
                <w:rFonts w:ascii="Times New Roman" w:hAnsi="Times New Roman"/>
                <w:b/>
                <w:bCs/>
                <w:sz w:val="28"/>
                <w:szCs w:val="24"/>
                <w:lang w:val="es-ES_tradnl"/>
              </w:rPr>
              <w:t>firma electrónica</w:t>
            </w:r>
            <w:r w:rsidRPr="00862128">
              <w:rPr>
                <w:rFonts w:ascii="Times New Roman" w:hAnsi="Times New Roman"/>
                <w:sz w:val="28"/>
                <w:szCs w:val="24"/>
                <w:lang w:val="es-ES_tradnl"/>
              </w:rPr>
              <w:t>”</w:t>
            </w:r>
            <w:r w:rsidRPr="00862128">
              <w:rPr>
                <w:rFonts w:ascii="Times New Roman" w:hAnsi="Times New Roman"/>
                <w:sz w:val="28"/>
                <w:szCs w:val="24"/>
              </w:rPr>
              <w:t xml:space="preserve"> </w:t>
            </w:r>
            <w:r w:rsidRPr="00862128">
              <w:rPr>
                <w:rFonts w:ascii="Times New Roman" w:hAnsi="Times New Roman"/>
                <w:sz w:val="28"/>
                <w:szCs w:val="24"/>
              </w:rPr>
              <w:t>del</w:t>
            </w:r>
            <w:r w:rsidRPr="00862128">
              <w:rPr>
                <w:rFonts w:ascii="Times New Roman" w:hAnsi="Times New Roman"/>
                <w:sz w:val="28"/>
                <w:szCs w:val="24"/>
                <w:lang w:val="es-ES_tradnl"/>
              </w:rPr>
              <w:t xml:space="preserve"> parágrafo 3 del artículo 45 de la Ley 1480 de 2011 (adicionado por el artículo 7 de la Ley 2439 de 2024)</w:t>
            </w:r>
          </w:p>
        </w:tc>
        <w:tc>
          <w:tcPr>
            <w:tcW w:w="4414" w:type="dxa"/>
            <w:shd w:val="clear" w:color="auto" w:fill="auto"/>
          </w:tcPr>
          <w:p w:rsidR="0003479A" w:rsidRPr="00862128" w:rsidRDefault="00862128" w:rsidP="00862128">
            <w:pPr>
              <w:pStyle w:val="Prrafodelista"/>
              <w:spacing w:after="0" w:line="240" w:lineRule="auto"/>
              <w:ind w:left="0"/>
              <w:rPr>
                <w:rFonts w:ascii="Times New Roman" w:hAnsi="Times New Roman"/>
                <w:sz w:val="28"/>
                <w:szCs w:val="24"/>
                <w:lang w:val="es-ES_tradnl"/>
              </w:rPr>
            </w:pPr>
            <w:r w:rsidRPr="00862128">
              <w:rPr>
                <w:rFonts w:ascii="Times New Roman" w:hAnsi="Times New Roman"/>
                <w:sz w:val="28"/>
                <w:szCs w:val="24"/>
                <w:lang w:val="es-ES_tradnl"/>
              </w:rPr>
              <w:t xml:space="preserve">Norma que utiliza el demandante para concluir que existe un trato diferencial: </w:t>
            </w:r>
            <w:r w:rsidRPr="00862128">
              <w:rPr>
                <w:rFonts w:ascii="Times New Roman" w:hAnsi="Times New Roman"/>
                <w:sz w:val="28"/>
                <w:szCs w:val="24"/>
                <w:lang w:val="es-ES_tradnl"/>
              </w:rPr>
              <w:t>a</w:t>
            </w:r>
            <w:r w:rsidRPr="00862128">
              <w:rPr>
                <w:rFonts w:ascii="Times New Roman" w:hAnsi="Times New Roman"/>
                <w:sz w:val="28"/>
                <w:szCs w:val="24"/>
                <w:lang w:val="es-ES_tradnl"/>
              </w:rPr>
              <w:t>rtículo 68 de la Ley 45 de 1990</w:t>
            </w:r>
          </w:p>
        </w:tc>
      </w:tr>
      <w:tr w:rsidR="0003479A" w:rsidRPr="00862128" w:rsidTr="00862128">
        <w:tc>
          <w:tcPr>
            <w:tcW w:w="4414" w:type="dxa"/>
            <w:shd w:val="clear" w:color="auto" w:fill="auto"/>
          </w:tcPr>
          <w:p w:rsidR="00AF2D1E" w:rsidRPr="00862128" w:rsidRDefault="00862128" w:rsidP="00862128">
            <w:pPr>
              <w:pStyle w:val="Prrafodelista"/>
              <w:spacing w:after="0" w:line="240" w:lineRule="auto"/>
              <w:ind w:left="0"/>
              <w:rPr>
                <w:rFonts w:ascii="Times New Roman" w:hAnsi="Times New Roman"/>
                <w:sz w:val="28"/>
                <w:szCs w:val="24"/>
              </w:rPr>
            </w:pPr>
            <w:r w:rsidRPr="00862128">
              <w:rPr>
                <w:rFonts w:ascii="Times New Roman" w:hAnsi="Times New Roman"/>
                <w:sz w:val="28"/>
                <w:szCs w:val="24"/>
              </w:rPr>
              <w:t xml:space="preserve">“ARTÍCULO 45. Estipulaciones especiales. </w:t>
            </w:r>
          </w:p>
          <w:p w:rsidR="00AF2D1E" w:rsidRPr="00862128" w:rsidRDefault="00862128" w:rsidP="00862128">
            <w:pPr>
              <w:pStyle w:val="Prrafodelista"/>
              <w:spacing w:after="0" w:line="240" w:lineRule="auto"/>
              <w:ind w:left="0"/>
              <w:rPr>
                <w:rFonts w:ascii="Times New Roman" w:hAnsi="Times New Roman"/>
                <w:sz w:val="28"/>
                <w:szCs w:val="24"/>
              </w:rPr>
            </w:pPr>
            <w:r w:rsidRPr="00862128">
              <w:rPr>
                <w:rFonts w:ascii="Times New Roman" w:hAnsi="Times New Roman"/>
                <w:sz w:val="28"/>
                <w:szCs w:val="24"/>
              </w:rPr>
              <w:t>(…)</w:t>
            </w:r>
          </w:p>
          <w:p w:rsidR="00AF2D1E" w:rsidRPr="00862128" w:rsidRDefault="00862128" w:rsidP="00862128">
            <w:pPr>
              <w:pStyle w:val="Prrafodelista"/>
              <w:spacing w:after="0" w:line="240" w:lineRule="auto"/>
              <w:ind w:left="0"/>
              <w:jc w:val="both"/>
              <w:rPr>
                <w:rFonts w:ascii="Times New Roman" w:hAnsi="Times New Roman"/>
                <w:sz w:val="28"/>
                <w:szCs w:val="24"/>
              </w:rPr>
            </w:pPr>
            <w:r w:rsidRPr="00862128">
              <w:rPr>
                <w:rFonts w:ascii="Times New Roman" w:hAnsi="Times New Roman"/>
                <w:sz w:val="28"/>
                <w:szCs w:val="24"/>
              </w:rPr>
              <w:t>“PARÁGRAFO 3o. En concordancia con lo dispuesto en el artículo 68 de la Ley 45 de 1990, cuando el otorgamiento y ejecución de las operaciones de crédito se realicen mediante sistemas de financiación desarrollad</w:t>
            </w:r>
            <w:r w:rsidRPr="00862128">
              <w:rPr>
                <w:rFonts w:ascii="Times New Roman" w:hAnsi="Times New Roman"/>
                <w:sz w:val="28"/>
                <w:szCs w:val="24"/>
              </w:rPr>
              <w:t>os a través de medios electrónicos, se reputarán como intereses todos los cargos por concepto de uso de tecnología.</w:t>
            </w:r>
          </w:p>
          <w:p w:rsidR="00AF2D1E" w:rsidRPr="00862128" w:rsidRDefault="00862128" w:rsidP="00862128">
            <w:pPr>
              <w:pStyle w:val="Prrafodelista"/>
              <w:spacing w:after="0" w:line="240" w:lineRule="auto"/>
              <w:rPr>
                <w:rFonts w:ascii="Times New Roman" w:hAnsi="Times New Roman"/>
                <w:sz w:val="28"/>
                <w:szCs w:val="24"/>
              </w:rPr>
            </w:pPr>
          </w:p>
          <w:p w:rsidR="00AF2D1E" w:rsidRPr="00862128" w:rsidRDefault="00862128" w:rsidP="00862128">
            <w:pPr>
              <w:pStyle w:val="Prrafodelista"/>
              <w:spacing w:after="0" w:line="240" w:lineRule="auto"/>
              <w:ind w:left="0"/>
              <w:jc w:val="both"/>
              <w:rPr>
                <w:rFonts w:ascii="Times New Roman" w:hAnsi="Times New Roman"/>
                <w:sz w:val="28"/>
                <w:szCs w:val="24"/>
              </w:rPr>
            </w:pPr>
            <w:r w:rsidRPr="00862128">
              <w:rPr>
                <w:rFonts w:ascii="Times New Roman" w:hAnsi="Times New Roman"/>
                <w:sz w:val="28"/>
                <w:szCs w:val="24"/>
              </w:rPr>
              <w:t>“Así mismo, se deberá informar al consumidor de manera discriminada cuáles son los cargos que se encuentren directamente asociados al crédi</w:t>
            </w:r>
            <w:r w:rsidRPr="00862128">
              <w:rPr>
                <w:rFonts w:ascii="Times New Roman" w:hAnsi="Times New Roman"/>
                <w:sz w:val="28"/>
                <w:szCs w:val="24"/>
              </w:rPr>
              <w:t>to. Además, se deberá dar claridad que estos hacen parte de los intereses causados, sin que se pueda exceder los límites máximos legales vigentes.</w:t>
            </w:r>
          </w:p>
          <w:p w:rsidR="00AF2D1E" w:rsidRPr="00862128" w:rsidRDefault="00862128" w:rsidP="00862128">
            <w:pPr>
              <w:pStyle w:val="Prrafodelista"/>
              <w:spacing w:after="0" w:line="240" w:lineRule="auto"/>
              <w:rPr>
                <w:rFonts w:ascii="Times New Roman" w:hAnsi="Times New Roman"/>
                <w:sz w:val="28"/>
                <w:szCs w:val="24"/>
              </w:rPr>
            </w:pPr>
          </w:p>
          <w:p w:rsidR="00AF2D1E" w:rsidRPr="00862128" w:rsidRDefault="00862128" w:rsidP="00862128">
            <w:pPr>
              <w:pStyle w:val="Prrafodelista"/>
              <w:spacing w:after="0" w:line="240" w:lineRule="auto"/>
              <w:ind w:left="0"/>
              <w:jc w:val="both"/>
              <w:rPr>
                <w:rFonts w:ascii="Times New Roman" w:hAnsi="Times New Roman"/>
                <w:sz w:val="28"/>
                <w:szCs w:val="24"/>
              </w:rPr>
            </w:pPr>
            <w:r w:rsidRPr="00862128">
              <w:rPr>
                <w:rFonts w:ascii="Times New Roman" w:hAnsi="Times New Roman"/>
                <w:sz w:val="28"/>
                <w:szCs w:val="24"/>
              </w:rPr>
              <w:t>“En tal sentido, no se reputarán intereses los rubros que se causen de manera independiente al crédito, cuan</w:t>
            </w:r>
            <w:r w:rsidRPr="00862128">
              <w:rPr>
                <w:rFonts w:ascii="Times New Roman" w:hAnsi="Times New Roman"/>
                <w:sz w:val="28"/>
                <w:szCs w:val="24"/>
              </w:rPr>
              <w:t xml:space="preserve">do hayan sido debidamente informados y cuya carga le corresponda al usuario, tales como: seguros, avales, impuestos y </w:t>
            </w:r>
            <w:r w:rsidRPr="00862128">
              <w:rPr>
                <w:rFonts w:ascii="Times New Roman" w:hAnsi="Times New Roman"/>
                <w:b/>
                <w:bCs/>
                <w:sz w:val="28"/>
                <w:szCs w:val="24"/>
              </w:rPr>
              <w:t>firma electrónica</w:t>
            </w:r>
            <w:r w:rsidRPr="00862128">
              <w:rPr>
                <w:rFonts w:ascii="Times New Roman" w:hAnsi="Times New Roman"/>
                <w:sz w:val="28"/>
                <w:szCs w:val="24"/>
              </w:rPr>
              <w:t>, esto, sin perjuicio de los casos en que las normas expresamente los reputen como tal.</w:t>
            </w:r>
          </w:p>
          <w:p w:rsidR="00AF2D1E" w:rsidRPr="00862128" w:rsidRDefault="00862128" w:rsidP="00862128">
            <w:pPr>
              <w:pStyle w:val="Prrafodelista"/>
              <w:spacing w:after="0" w:line="240" w:lineRule="auto"/>
              <w:rPr>
                <w:rFonts w:ascii="Times New Roman" w:hAnsi="Times New Roman"/>
                <w:sz w:val="28"/>
                <w:szCs w:val="24"/>
              </w:rPr>
            </w:pPr>
          </w:p>
          <w:p w:rsidR="00AF2D1E" w:rsidRPr="00862128" w:rsidRDefault="00862128" w:rsidP="00862128">
            <w:pPr>
              <w:pStyle w:val="Prrafodelista"/>
              <w:spacing w:after="0" w:line="240" w:lineRule="auto"/>
              <w:ind w:left="0"/>
              <w:jc w:val="both"/>
              <w:rPr>
                <w:rFonts w:ascii="Times New Roman" w:hAnsi="Times New Roman"/>
                <w:sz w:val="28"/>
                <w:szCs w:val="24"/>
              </w:rPr>
            </w:pPr>
            <w:r w:rsidRPr="00862128">
              <w:rPr>
                <w:rFonts w:ascii="Times New Roman" w:hAnsi="Times New Roman"/>
                <w:sz w:val="28"/>
                <w:szCs w:val="24"/>
              </w:rPr>
              <w:t xml:space="preserve">“Los conceptos tecnológicos que causen erogación para el consumidor y que puedan ser suplidos de manera física, deberán ser informados al consumidor, quien podrá elegir la forma de ejecución del mismo.” </w:t>
            </w:r>
          </w:p>
          <w:p w:rsidR="0003479A" w:rsidRPr="00862128" w:rsidRDefault="00862128" w:rsidP="00862128">
            <w:pPr>
              <w:pStyle w:val="Prrafodelista"/>
              <w:spacing w:after="0" w:line="240" w:lineRule="auto"/>
              <w:ind w:left="0"/>
              <w:rPr>
                <w:rFonts w:ascii="Times New Roman" w:hAnsi="Times New Roman"/>
                <w:sz w:val="28"/>
                <w:szCs w:val="24"/>
              </w:rPr>
            </w:pPr>
          </w:p>
        </w:tc>
        <w:tc>
          <w:tcPr>
            <w:tcW w:w="4414" w:type="dxa"/>
            <w:shd w:val="clear" w:color="auto" w:fill="auto"/>
          </w:tcPr>
          <w:p w:rsidR="0003479A" w:rsidRPr="00862128" w:rsidRDefault="00862128" w:rsidP="00862128">
            <w:pPr>
              <w:tabs>
                <w:tab w:val="left" w:pos="567"/>
              </w:tabs>
              <w:spacing w:after="0" w:line="240" w:lineRule="auto"/>
              <w:jc w:val="both"/>
              <w:rPr>
                <w:rFonts w:ascii="Times New Roman" w:hAnsi="Times New Roman"/>
                <w:sz w:val="28"/>
                <w:szCs w:val="24"/>
                <w:lang w:val="es-ES_tradnl"/>
              </w:rPr>
            </w:pPr>
            <w:r w:rsidRPr="00862128">
              <w:rPr>
                <w:rFonts w:ascii="Times New Roman" w:hAnsi="Times New Roman"/>
                <w:sz w:val="28"/>
                <w:szCs w:val="24"/>
                <w:lang w:val="es-ES_tradnl"/>
              </w:rPr>
              <w:t xml:space="preserve">“Artículo 68. Sumas que se reputan intereses. Para </w:t>
            </w:r>
            <w:r w:rsidRPr="00862128">
              <w:rPr>
                <w:rFonts w:ascii="Times New Roman" w:hAnsi="Times New Roman"/>
                <w:sz w:val="28"/>
                <w:szCs w:val="24"/>
                <w:lang w:val="es-ES_tradnl"/>
              </w:rPr>
              <w:t>todos los efectos legales se reputarán intereses las sumas que el acreedor reciba del deudor sin contraprestación distinta al crédito otorgado, aun cuando las mismas se justifiquen por concepto de honorarios, comisiones u otros semejantes. Así mismo, se in</w:t>
            </w:r>
            <w:r w:rsidRPr="00862128">
              <w:rPr>
                <w:rFonts w:ascii="Times New Roman" w:hAnsi="Times New Roman"/>
                <w:sz w:val="28"/>
                <w:szCs w:val="24"/>
                <w:lang w:val="es-ES_tradnl"/>
              </w:rPr>
              <w:t>cluirán dentro de los intereses las sumas que el deudor pague por concepto de servicios vinculados directamente con el crédito en exceso de las sumas que señale el reglamento.”</w:t>
            </w:r>
          </w:p>
          <w:p w:rsidR="0003479A" w:rsidRPr="00862128" w:rsidRDefault="00862128" w:rsidP="00862128">
            <w:pPr>
              <w:pStyle w:val="Prrafodelista"/>
              <w:spacing w:after="0" w:line="240" w:lineRule="auto"/>
              <w:ind w:left="0"/>
              <w:rPr>
                <w:rFonts w:ascii="Times New Roman" w:hAnsi="Times New Roman"/>
                <w:sz w:val="28"/>
                <w:szCs w:val="24"/>
                <w:lang w:val="es-ES_tradnl"/>
              </w:rPr>
            </w:pPr>
          </w:p>
        </w:tc>
      </w:tr>
    </w:tbl>
    <w:p w:rsidR="0003479A" w:rsidRPr="00862128" w:rsidRDefault="00862128" w:rsidP="00AF2D1E">
      <w:pPr>
        <w:rPr>
          <w:rFonts w:ascii="Times New Roman" w:hAnsi="Times New Roman"/>
          <w:sz w:val="28"/>
          <w:lang w:val="es-ES_tradnl"/>
        </w:rPr>
      </w:pPr>
      <w:r w:rsidRPr="00862128">
        <w:rPr>
          <w:rFonts w:ascii="Times New Roman" w:hAnsi="Times New Roman"/>
          <w:sz w:val="28"/>
          <w:lang w:val="es-ES_tradnl"/>
        </w:rPr>
        <w:t xml:space="preserve">Tabla 4. </w:t>
      </w:r>
      <w:r w:rsidRPr="00862128">
        <w:rPr>
          <w:rFonts w:ascii="Times New Roman" w:hAnsi="Times New Roman"/>
          <w:i/>
          <w:iCs/>
          <w:sz w:val="28"/>
          <w:lang w:val="es-ES_tradnl"/>
        </w:rPr>
        <w:t>Comparación del parágrafo 3 del artículo 45 de la Ley 1480 de 2011 y</w:t>
      </w:r>
      <w:r w:rsidRPr="00862128">
        <w:rPr>
          <w:rFonts w:ascii="Times New Roman" w:hAnsi="Times New Roman"/>
          <w:i/>
          <w:iCs/>
          <w:sz w:val="28"/>
          <w:lang w:val="es-ES_tradnl"/>
        </w:rPr>
        <w:t xml:space="preserve"> el artículo 68 de la Ley 45 de 1990</w:t>
      </w:r>
    </w:p>
    <w:p w:rsidR="0003479A" w:rsidRPr="00862128" w:rsidRDefault="00862128" w:rsidP="00AF2D1E">
      <w:pPr>
        <w:rPr>
          <w:rFonts w:ascii="Times New Roman" w:hAnsi="Times New Roman"/>
          <w:sz w:val="28"/>
          <w:szCs w:val="28"/>
          <w:lang w:val="es-ES_tradnl"/>
        </w:rPr>
      </w:pPr>
    </w:p>
    <w:p w:rsidR="00F2404A" w:rsidRPr="00862128" w:rsidRDefault="00862128" w:rsidP="00215FBD">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El argumento en que se sostiene la demanda se basa en una hipótesis acerca de la interpretación del artículo 68 de la Ley 45 de 1990 consistente en afirmar que según dicha norma, “</w:t>
      </w:r>
      <w:r w:rsidRPr="00862128">
        <w:rPr>
          <w:rFonts w:ascii="Times New Roman" w:hAnsi="Times New Roman"/>
          <w:sz w:val="28"/>
          <w:szCs w:val="28"/>
          <w:lang w:val="es-ES_tradnl"/>
        </w:rPr>
        <w:t>la firma electrónica sí debe computars</w:t>
      </w:r>
      <w:r w:rsidRPr="00862128">
        <w:rPr>
          <w:rFonts w:ascii="Times New Roman" w:hAnsi="Times New Roman"/>
          <w:sz w:val="28"/>
          <w:szCs w:val="28"/>
          <w:lang w:val="es-ES_tradnl"/>
        </w:rPr>
        <w:t>e como interés, de conformidad con el régimen general establecido por el artículo 68 de la Ley 45 de 1990, según el cual se reputan intereses las sumas que el deudor pague por concepto de servicios vinculados directamente con el crédito en exceso de las su</w:t>
      </w:r>
      <w:r w:rsidRPr="00862128">
        <w:rPr>
          <w:rFonts w:ascii="Times New Roman" w:hAnsi="Times New Roman"/>
          <w:sz w:val="28"/>
          <w:szCs w:val="28"/>
          <w:lang w:val="es-ES_tradnl"/>
        </w:rPr>
        <w:t>mas que señale el reglamento"</w:t>
      </w:r>
      <w:r w:rsidRPr="00862128">
        <w:rPr>
          <w:rStyle w:val="Refdenotaalpie"/>
          <w:rFonts w:ascii="Times New Roman" w:hAnsi="Times New Roman"/>
          <w:sz w:val="28"/>
          <w:szCs w:val="28"/>
        </w:rPr>
        <w:footnoteReference w:id="88"/>
      </w:r>
      <w:r w:rsidRPr="00862128">
        <w:rPr>
          <w:rFonts w:ascii="Times New Roman" w:hAnsi="Times New Roman"/>
          <w:sz w:val="28"/>
          <w:szCs w:val="28"/>
          <w:lang w:val="es-ES_tradnl"/>
        </w:rPr>
        <w:t xml:space="preserve">. Adicionalmente, en el documento de </w:t>
      </w:r>
      <w:r w:rsidRPr="00862128">
        <w:rPr>
          <w:rFonts w:ascii="Times New Roman" w:hAnsi="Times New Roman"/>
          <w:sz w:val="28"/>
          <w:szCs w:val="28"/>
          <w:lang w:val="es-ES_tradnl"/>
        </w:rPr>
        <w:t xml:space="preserve">corrección de la demanda </w:t>
      </w:r>
      <w:r w:rsidRPr="00862128">
        <w:rPr>
          <w:rFonts w:ascii="Times New Roman" w:hAnsi="Times New Roman"/>
          <w:sz w:val="28"/>
          <w:szCs w:val="28"/>
          <w:lang w:val="es-ES_tradnl"/>
        </w:rPr>
        <w:t xml:space="preserve">afirmó lo que se transcribe a continuación: </w:t>
      </w:r>
    </w:p>
    <w:p w:rsidR="00F2404A" w:rsidRPr="00862128" w:rsidRDefault="00862128" w:rsidP="00BE5143">
      <w:pPr>
        <w:tabs>
          <w:tab w:val="left" w:pos="567"/>
        </w:tabs>
        <w:jc w:val="both"/>
        <w:rPr>
          <w:rFonts w:ascii="Times New Roman" w:hAnsi="Times New Roman"/>
          <w:sz w:val="28"/>
          <w:szCs w:val="28"/>
          <w:lang w:val="es-ES_tradnl"/>
        </w:rPr>
      </w:pPr>
    </w:p>
    <w:p w:rsidR="00F2404A" w:rsidRPr="00862128" w:rsidRDefault="00862128" w:rsidP="00B1515D">
      <w:pPr>
        <w:pStyle w:val="Prrafodelista"/>
        <w:tabs>
          <w:tab w:val="left" w:pos="567"/>
        </w:tabs>
        <w:ind w:left="567"/>
        <w:jc w:val="both"/>
        <w:rPr>
          <w:rFonts w:ascii="Times New Roman" w:hAnsi="Times New Roman"/>
          <w:sz w:val="28"/>
          <w:szCs w:val="28"/>
          <w:lang w:val="es-ES_tradnl"/>
        </w:rPr>
      </w:pPr>
      <w:r w:rsidRPr="00862128">
        <w:rPr>
          <w:rFonts w:ascii="Times New Roman" w:hAnsi="Times New Roman"/>
          <w:sz w:val="28"/>
          <w:szCs w:val="28"/>
          <w:lang w:val="es-ES_tradnl"/>
        </w:rPr>
        <w:t>“I. SUBSANACIÓN DEL REQUISITO DE CLARIDAD</w:t>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1.</w:t>
      </w:r>
      <w:r w:rsidRPr="00862128">
        <w:rPr>
          <w:rFonts w:ascii="Times New Roman" w:hAnsi="Times New Roman"/>
          <w:b/>
          <w:bCs/>
          <w:sz w:val="28"/>
          <w:szCs w:val="28"/>
        </w:rPr>
        <w:t xml:space="preserve"> </w:t>
      </w:r>
      <w:r w:rsidRPr="00862128">
        <w:rPr>
          <w:rFonts w:ascii="Times New Roman" w:hAnsi="Times New Roman"/>
          <w:sz w:val="28"/>
          <w:szCs w:val="28"/>
        </w:rPr>
        <w:t>Delimitación precisa del objeto de control normativo</w:t>
      </w:r>
    </w:p>
    <w:p w:rsidR="00F2404A" w:rsidRPr="00862128" w:rsidRDefault="00862128" w:rsidP="00B1515D">
      <w:pPr>
        <w:pStyle w:val="Prrafodelista"/>
        <w:tabs>
          <w:tab w:val="left" w:pos="567"/>
        </w:tabs>
        <w:ind w:left="567"/>
        <w:jc w:val="both"/>
        <w:rPr>
          <w:rFonts w:ascii="Times New Roman" w:hAnsi="Times New Roman"/>
          <w:sz w:val="28"/>
          <w:szCs w:val="28"/>
          <w:lang w:val="es-ES_tradnl"/>
        </w:rPr>
      </w:pPr>
      <w:r w:rsidRPr="00862128">
        <w:rPr>
          <w:rFonts w:ascii="Times New Roman" w:hAnsi="Times New Roman"/>
          <w:sz w:val="28"/>
          <w:szCs w:val="28"/>
          <w:lang w:val="es-ES_tradnl"/>
        </w:rPr>
        <w:t xml:space="preserve">(…) </w:t>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“La razón de la</w:t>
      </w:r>
      <w:r w:rsidRPr="00862128">
        <w:rPr>
          <w:rFonts w:ascii="Times New Roman" w:hAnsi="Times New Roman"/>
          <w:sz w:val="28"/>
          <w:szCs w:val="28"/>
        </w:rPr>
        <w:t xml:space="preserve"> inconstitucionalidad no es la existencia de la regla general que permite excluir ciertos rubros del cómputo de intereses (lo cual puede ser constitucionalmente válido para conceptos como los de seguros o los de impuestos), sino específicamente la inclusió</w:t>
      </w:r>
      <w:r w:rsidRPr="00862128">
        <w:rPr>
          <w:rFonts w:ascii="Times New Roman" w:hAnsi="Times New Roman"/>
          <w:sz w:val="28"/>
          <w:szCs w:val="28"/>
        </w:rPr>
        <w:t>n de la "firma electrónica" dentro de esa categoría, por tratarse de un elemento tecnológico inherente e inseparable de las operaciones de crédito electrónico que, por su naturaleza, debe computarse como interés según el régimen general establecido en</w:t>
      </w:r>
      <w:r w:rsidRPr="00862128">
        <w:rPr>
          <w:rFonts w:ascii="Times New Roman" w:hAnsi="Times New Roman"/>
          <w:sz w:val="28"/>
          <w:szCs w:val="28"/>
        </w:rPr>
        <w:t xml:space="preserve"> </w:t>
      </w:r>
      <w:r w:rsidRPr="00862128">
        <w:rPr>
          <w:rFonts w:ascii="Times New Roman" w:hAnsi="Times New Roman"/>
          <w:sz w:val="28"/>
          <w:szCs w:val="28"/>
        </w:rPr>
        <w:t>el a</w:t>
      </w:r>
      <w:r w:rsidRPr="00862128">
        <w:rPr>
          <w:rFonts w:ascii="Times New Roman" w:hAnsi="Times New Roman"/>
          <w:sz w:val="28"/>
          <w:szCs w:val="28"/>
        </w:rPr>
        <w:t>rtículo 68 de la Ley 45 de 1990.”</w:t>
      </w:r>
      <w:r w:rsidRPr="00862128">
        <w:rPr>
          <w:rFonts w:ascii="Times New Roman" w:hAnsi="Times New Roman"/>
          <w:sz w:val="28"/>
          <w:szCs w:val="28"/>
          <w:vertAlign w:val="superscript"/>
        </w:rPr>
        <w:footnoteReference w:id="89"/>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 xml:space="preserve"> (…) </w:t>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2.</w:t>
      </w:r>
      <w:r w:rsidRPr="00862128">
        <w:rPr>
          <w:rFonts w:ascii="Times New Roman" w:hAnsi="Times New Roman"/>
          <w:b/>
          <w:bCs/>
          <w:sz w:val="28"/>
          <w:szCs w:val="28"/>
        </w:rPr>
        <w:t xml:space="preserve"> </w:t>
      </w:r>
      <w:r w:rsidRPr="00862128">
        <w:rPr>
          <w:rFonts w:ascii="Times New Roman" w:hAnsi="Times New Roman"/>
          <w:sz w:val="28"/>
          <w:szCs w:val="28"/>
        </w:rPr>
        <w:t>Coherencia en el argumento sobre protección al consumidor</w:t>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w:t>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ESCENARIO 1: Régimen anterior a la norma demandada (aplicable a todas las entidades)</w:t>
      </w:r>
    </w:p>
    <w:p w:rsidR="00F2404A" w:rsidRPr="00862128" w:rsidRDefault="00862128" w:rsidP="00B1515D">
      <w:pPr>
        <w:pStyle w:val="Prrafodelista"/>
        <w:tabs>
          <w:tab w:val="left" w:pos="567"/>
        </w:tabs>
        <w:ind w:left="567"/>
        <w:jc w:val="both"/>
        <w:rPr>
          <w:rFonts w:ascii="Times New Roman" w:hAnsi="Times New Roman"/>
          <w:sz w:val="28"/>
          <w:szCs w:val="28"/>
        </w:rPr>
      </w:pP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 xml:space="preserve">“Antes de la </w:t>
      </w:r>
      <w:r w:rsidRPr="00862128">
        <w:rPr>
          <w:rFonts w:ascii="Times New Roman" w:hAnsi="Times New Roman"/>
          <w:sz w:val="28"/>
          <w:szCs w:val="28"/>
        </w:rPr>
        <w:t>expedición del</w:t>
      </w:r>
      <w:r w:rsidRPr="00862128">
        <w:rPr>
          <w:rFonts w:ascii="Times New Roman" w:hAnsi="Times New Roman"/>
          <w:sz w:val="28"/>
          <w:szCs w:val="28"/>
        </w:rPr>
        <w:t xml:space="preserve"> artículo 7 de la Ley 2439 de 2024, l</w:t>
      </w:r>
      <w:r w:rsidRPr="00862128">
        <w:rPr>
          <w:rFonts w:ascii="Times New Roman" w:hAnsi="Times New Roman"/>
          <w:sz w:val="28"/>
          <w:szCs w:val="28"/>
        </w:rPr>
        <w:t>os créditos otorgados por personas naturales o jurídicas cuyo control y vigilancia no había sido asignado a una autoridad administrativa en particular se regían por el régimen general del artículo 68 de la 45 de 1990. Bajo este régimen, todos los cargos po</w:t>
      </w:r>
      <w:r w:rsidRPr="00862128">
        <w:rPr>
          <w:rFonts w:ascii="Times New Roman" w:hAnsi="Times New Roman"/>
          <w:sz w:val="28"/>
          <w:szCs w:val="28"/>
        </w:rPr>
        <w:t>r concepto de uso de tecnología, incluida la firma electrónica, debían reputarse como intereses y, por tanto, incluirse dentro de la tasa de interés cobrada al consumidor”</w:t>
      </w:r>
      <w:r w:rsidRPr="00862128">
        <w:rPr>
          <w:rFonts w:ascii="Times New Roman" w:hAnsi="Times New Roman"/>
          <w:sz w:val="28"/>
          <w:szCs w:val="28"/>
          <w:vertAlign w:val="superscript"/>
        </w:rPr>
        <w:t xml:space="preserve"> </w:t>
      </w:r>
      <w:r w:rsidRPr="00862128">
        <w:rPr>
          <w:rFonts w:ascii="Times New Roman" w:hAnsi="Times New Roman"/>
          <w:sz w:val="28"/>
          <w:szCs w:val="28"/>
          <w:vertAlign w:val="superscript"/>
        </w:rPr>
        <w:footnoteReference w:id="90"/>
      </w: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 xml:space="preserve">(…) </w:t>
      </w:r>
    </w:p>
    <w:p w:rsidR="00F2404A" w:rsidRPr="00862128" w:rsidRDefault="00862128" w:rsidP="00B1515D">
      <w:pPr>
        <w:pStyle w:val="Prrafodelista"/>
        <w:tabs>
          <w:tab w:val="left" w:pos="567"/>
        </w:tabs>
        <w:ind w:left="567"/>
        <w:jc w:val="both"/>
        <w:rPr>
          <w:rFonts w:ascii="Times New Roman" w:hAnsi="Times New Roman"/>
          <w:sz w:val="28"/>
          <w:szCs w:val="28"/>
        </w:rPr>
      </w:pP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El mecanismo de elusión opera de la siguiente manera:</w:t>
      </w:r>
    </w:p>
    <w:p w:rsidR="00F2404A" w:rsidRPr="00862128" w:rsidRDefault="00862128" w:rsidP="00B1515D">
      <w:pPr>
        <w:pStyle w:val="Prrafodelista"/>
        <w:tabs>
          <w:tab w:val="left" w:pos="567"/>
        </w:tabs>
        <w:ind w:left="567"/>
        <w:jc w:val="both"/>
        <w:rPr>
          <w:rFonts w:ascii="Times New Roman" w:hAnsi="Times New Roman"/>
          <w:sz w:val="28"/>
          <w:szCs w:val="28"/>
        </w:rPr>
      </w:pPr>
    </w:p>
    <w:p w:rsidR="00F2404A" w:rsidRPr="00862128" w:rsidRDefault="00862128" w:rsidP="00B1515D">
      <w:pPr>
        <w:pStyle w:val="Prrafodelista"/>
        <w:tabs>
          <w:tab w:val="left" w:pos="567"/>
        </w:tabs>
        <w:ind w:left="567"/>
        <w:jc w:val="both"/>
        <w:rPr>
          <w:rFonts w:ascii="Times New Roman" w:hAnsi="Times New Roman"/>
          <w:sz w:val="28"/>
          <w:szCs w:val="28"/>
        </w:rPr>
      </w:pPr>
      <w:r w:rsidRPr="00862128">
        <w:rPr>
          <w:rFonts w:ascii="Times New Roman" w:hAnsi="Times New Roman"/>
          <w:sz w:val="28"/>
          <w:szCs w:val="28"/>
        </w:rPr>
        <w:t xml:space="preserve">“Bajo el régimen </w:t>
      </w:r>
      <w:r w:rsidRPr="00862128">
        <w:rPr>
          <w:rFonts w:ascii="Times New Roman" w:hAnsi="Times New Roman"/>
          <w:sz w:val="28"/>
          <w:szCs w:val="28"/>
        </w:rPr>
        <w:t>anterior a la norma demandada, todos los costos asociados al uso de tecnología en operaciones crediticias electrónicas, incluida la firma electrónica, debían computarse como intereses según el artículo 68 de la Ley 45 de 1990.”</w:t>
      </w:r>
      <w:r w:rsidRPr="00862128">
        <w:rPr>
          <w:rFonts w:ascii="Times New Roman" w:hAnsi="Times New Roman"/>
          <w:sz w:val="28"/>
          <w:szCs w:val="28"/>
          <w:vertAlign w:val="superscript"/>
        </w:rPr>
        <w:t xml:space="preserve"> </w:t>
      </w:r>
      <w:r w:rsidRPr="00862128">
        <w:rPr>
          <w:rFonts w:ascii="Times New Roman" w:hAnsi="Times New Roman"/>
          <w:sz w:val="28"/>
          <w:szCs w:val="28"/>
          <w:vertAlign w:val="superscript"/>
        </w:rPr>
        <w:footnoteReference w:id="91"/>
      </w:r>
    </w:p>
    <w:p w:rsidR="00F2404A" w:rsidRPr="00862128" w:rsidRDefault="00862128" w:rsidP="00BE5143">
      <w:pPr>
        <w:tabs>
          <w:tab w:val="left" w:pos="567"/>
        </w:tabs>
        <w:rPr>
          <w:rFonts w:ascii="Times New Roman" w:hAnsi="Times New Roman"/>
          <w:sz w:val="28"/>
          <w:szCs w:val="28"/>
          <w:lang w:val="es-ES_tradnl"/>
        </w:rPr>
      </w:pPr>
    </w:p>
    <w:p w:rsidR="00B63098" w:rsidRPr="00862128" w:rsidRDefault="00862128" w:rsidP="003664DF">
      <w:pPr>
        <w:pStyle w:val="Prrafodelista"/>
        <w:numPr>
          <w:ilvl w:val="0"/>
          <w:numId w:val="4"/>
        </w:numPr>
        <w:tabs>
          <w:tab w:val="left" w:pos="284"/>
        </w:tabs>
        <w:ind w:left="0" w:firstLine="0"/>
        <w:jc w:val="both"/>
        <w:rPr>
          <w:rFonts w:ascii="Times New Roman" w:hAnsi="Times New Roman"/>
          <w:sz w:val="28"/>
          <w:szCs w:val="28"/>
        </w:rPr>
      </w:pPr>
      <w:r w:rsidRPr="00862128">
        <w:rPr>
          <w:rFonts w:ascii="Times New Roman" w:hAnsi="Times New Roman"/>
          <w:sz w:val="28"/>
          <w:szCs w:val="28"/>
          <w:lang w:val="es-ES_tradnl"/>
        </w:rPr>
        <w:t xml:space="preserve">Como se mencionó, </w:t>
      </w:r>
      <w:r w:rsidRPr="00862128">
        <w:rPr>
          <w:rFonts w:ascii="Times New Roman" w:hAnsi="Times New Roman"/>
          <w:sz w:val="28"/>
          <w:szCs w:val="28"/>
          <w:lang w:val="es-ES_tradnl"/>
        </w:rPr>
        <w:t xml:space="preserve">el </w:t>
      </w:r>
      <w:r w:rsidRPr="00862128">
        <w:rPr>
          <w:rFonts w:ascii="Times New Roman" w:hAnsi="Times New Roman"/>
          <w:sz w:val="28"/>
          <w:szCs w:val="28"/>
          <w:lang w:val="es-ES_tradnl"/>
        </w:rPr>
        <w:t>demandante centra su debate, principalmente, en la comparación del artículo 68 de la Ley 45 de 1990 y la norma demandada. No obstante, la Ley 45 de 1990 no menciona expresamente la “firma electrónica”, ni, mucho menos, señala que dicha firma debe computars</w:t>
      </w:r>
      <w:r w:rsidRPr="00862128">
        <w:rPr>
          <w:rFonts w:ascii="Times New Roman" w:hAnsi="Times New Roman"/>
          <w:sz w:val="28"/>
          <w:szCs w:val="28"/>
          <w:lang w:val="es-ES_tradnl"/>
        </w:rPr>
        <w:t>e como interés.</w:t>
      </w:r>
      <w:r w:rsidRPr="00862128">
        <w:rPr>
          <w:rFonts w:ascii="Times New Roman" w:hAnsi="Times New Roman"/>
          <w:sz w:val="28"/>
          <w:szCs w:val="28"/>
          <w:vertAlign w:val="superscript"/>
          <w:lang w:val="es-ES_tradnl"/>
        </w:rPr>
        <w:footnoteReference w:id="92"/>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 xml:space="preserve">Es importante precisar </w:t>
      </w:r>
      <w:r w:rsidRPr="00862128">
        <w:rPr>
          <w:rFonts w:ascii="Times New Roman" w:hAnsi="Times New Roman"/>
          <w:sz w:val="28"/>
          <w:szCs w:val="28"/>
          <w:lang w:val="es-ES_tradnl"/>
        </w:rPr>
        <w:t xml:space="preserve">que </w:t>
      </w:r>
      <w:r w:rsidRPr="00862128">
        <w:rPr>
          <w:rFonts w:ascii="Times New Roman" w:hAnsi="Times New Roman"/>
          <w:sz w:val="28"/>
          <w:szCs w:val="28"/>
        </w:rPr>
        <w:t>el control abstracto de constitucionalidad no permite que la Corte defina una regla general sobre el tratamiento jurídico del costo de la firma electrónica en el régimen financiero</w:t>
      </w:r>
      <w:r w:rsidRPr="00862128">
        <w:rPr>
          <w:rFonts w:ascii="Times New Roman" w:hAnsi="Times New Roman"/>
          <w:sz w:val="28"/>
          <w:szCs w:val="28"/>
        </w:rPr>
        <w:t xml:space="preserve">. Tampoco significa que </w:t>
      </w:r>
      <w:r w:rsidRPr="00862128">
        <w:rPr>
          <w:rFonts w:ascii="Times New Roman" w:hAnsi="Times New Roman"/>
          <w:sz w:val="28"/>
          <w:szCs w:val="28"/>
        </w:rPr>
        <w:t>esta</w:t>
      </w:r>
      <w:r w:rsidRPr="00862128">
        <w:rPr>
          <w:rFonts w:ascii="Times New Roman" w:hAnsi="Times New Roman"/>
          <w:sz w:val="28"/>
          <w:szCs w:val="28"/>
        </w:rPr>
        <w:t xml:space="preserve"> Co</w:t>
      </w:r>
      <w:r w:rsidRPr="00862128">
        <w:rPr>
          <w:rFonts w:ascii="Times New Roman" w:hAnsi="Times New Roman"/>
          <w:sz w:val="28"/>
          <w:szCs w:val="28"/>
        </w:rPr>
        <w:t xml:space="preserve">rte </w:t>
      </w:r>
      <w:r w:rsidRPr="00862128">
        <w:rPr>
          <w:rFonts w:ascii="Times New Roman" w:hAnsi="Times New Roman"/>
          <w:sz w:val="28"/>
          <w:szCs w:val="28"/>
        </w:rPr>
        <w:t>establezca</w:t>
      </w:r>
      <w:r w:rsidRPr="00862128">
        <w:rPr>
          <w:rFonts w:ascii="Times New Roman" w:hAnsi="Times New Roman"/>
          <w:sz w:val="28"/>
          <w:szCs w:val="28"/>
        </w:rPr>
        <w:t xml:space="preserve"> el alcance de una norma no demandada, con efectos vinculantes para el mercado financiero y para la autoridad especializada encargada de regularlo.</w:t>
      </w:r>
      <w:r w:rsidRPr="00862128">
        <w:rPr>
          <w:rFonts w:ascii="Times New Roman" w:hAnsi="Times New Roman"/>
          <w:sz w:val="28"/>
          <w:szCs w:val="28"/>
        </w:rPr>
        <w:t xml:space="preserve"> La sola ausencia de mención expresa de la firma electrónica en el artículo 68 no permite concl</w:t>
      </w:r>
      <w:r w:rsidRPr="00862128">
        <w:rPr>
          <w:rFonts w:ascii="Times New Roman" w:hAnsi="Times New Roman"/>
          <w:sz w:val="28"/>
          <w:szCs w:val="28"/>
        </w:rPr>
        <w:t>uir de forma objetiva y para todos los casos, ni en un sentido ni en otro, cómo debe tratarse ese costo. Precisamente por no derivarse objetivamente una regla general sobre la firma electrónica de dicha disposición</w:t>
      </w:r>
      <w:r w:rsidRPr="00862128">
        <w:rPr>
          <w:rFonts w:ascii="Times New Roman" w:hAnsi="Times New Roman"/>
          <w:sz w:val="28"/>
          <w:szCs w:val="28"/>
        </w:rPr>
        <w:t>.</w:t>
      </w:r>
    </w:p>
    <w:p w:rsidR="00156B22" w:rsidRPr="00862128" w:rsidRDefault="00862128" w:rsidP="00BE5143">
      <w:pPr>
        <w:pStyle w:val="Prrafodelista"/>
        <w:tabs>
          <w:tab w:val="left" w:pos="567"/>
        </w:tabs>
        <w:ind w:left="0"/>
        <w:jc w:val="both"/>
        <w:rPr>
          <w:rFonts w:ascii="Times New Roman" w:hAnsi="Times New Roman"/>
          <w:sz w:val="28"/>
          <w:szCs w:val="28"/>
        </w:rPr>
      </w:pPr>
    </w:p>
    <w:p w:rsidR="00F2404A" w:rsidRPr="00862128" w:rsidRDefault="00862128" w:rsidP="00117CF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w:t>
      </w:r>
      <w:r w:rsidRPr="00862128">
        <w:rPr>
          <w:rFonts w:ascii="Times New Roman" w:hAnsi="Times New Roman"/>
          <w:sz w:val="28"/>
          <w:szCs w:val="28"/>
        </w:rPr>
        <w:t>n suma, e</w:t>
      </w:r>
      <w:r w:rsidRPr="00862128">
        <w:rPr>
          <w:rFonts w:ascii="Times New Roman" w:hAnsi="Times New Roman"/>
          <w:sz w:val="28"/>
          <w:szCs w:val="28"/>
        </w:rPr>
        <w:t xml:space="preserve">l accionante sostiene que la “firma electrónica sí debe computarse como interés, de conformidad con el régimen general establecido por el artículo 68 de la Ley 45 de 1990”. Sin embargo, no existe en la ley ninguna disposición expresa que establezca que la </w:t>
      </w:r>
      <w:r w:rsidRPr="00862128">
        <w:rPr>
          <w:rFonts w:ascii="Times New Roman" w:hAnsi="Times New Roman"/>
          <w:sz w:val="28"/>
          <w:szCs w:val="28"/>
        </w:rPr>
        <w:t>‘firma electrónica’ forma parte de los elementos que componen o integran el concepto de intereses. Por ende, el argumento central y decisivo de la demanda se fundamenta en una interpretación personal y no en una disposición existente del ordenamiento legal</w:t>
      </w:r>
      <w:r w:rsidRPr="00862128">
        <w:rPr>
          <w:rFonts w:ascii="Times New Roman" w:hAnsi="Times New Roman"/>
          <w:sz w:val="28"/>
          <w:szCs w:val="28"/>
        </w:rPr>
        <w:t xml:space="preserve">. Esto, desde luego, impregna de incertidumbre toda la demanda porque la misma parte de una </w:t>
      </w:r>
      <w:r w:rsidRPr="00862128">
        <w:rPr>
          <w:rFonts w:ascii="Times New Roman" w:hAnsi="Times New Roman"/>
          <w:sz w:val="28"/>
          <w:szCs w:val="28"/>
        </w:rPr>
        <w:t xml:space="preserve">opinión </w:t>
      </w:r>
      <w:r w:rsidRPr="00862128">
        <w:rPr>
          <w:rFonts w:ascii="Times New Roman" w:hAnsi="Times New Roman"/>
          <w:sz w:val="28"/>
          <w:szCs w:val="28"/>
        </w:rPr>
        <w:t xml:space="preserve">del accionante y no de </w:t>
      </w:r>
      <w:r w:rsidRPr="00862128">
        <w:rPr>
          <w:rFonts w:ascii="Times New Roman" w:hAnsi="Times New Roman"/>
          <w:sz w:val="28"/>
          <w:szCs w:val="28"/>
        </w:rPr>
        <w:t>un mandato legal</w:t>
      </w:r>
      <w:r w:rsidRPr="00862128">
        <w:rPr>
          <w:rFonts w:ascii="Times New Roman" w:hAnsi="Times New Roman"/>
          <w:sz w:val="28"/>
          <w:szCs w:val="28"/>
        </w:rPr>
        <w:t xml:space="preserve">. </w:t>
      </w:r>
    </w:p>
    <w:p w:rsidR="000259AA" w:rsidRPr="00862128" w:rsidRDefault="00862128" w:rsidP="00F64B8A">
      <w:pPr>
        <w:rPr>
          <w:rFonts w:ascii="Times New Roman" w:hAnsi="Times New Roman"/>
          <w:sz w:val="28"/>
          <w:szCs w:val="28"/>
        </w:rPr>
      </w:pPr>
    </w:p>
    <w:p w:rsidR="00F64B8A" w:rsidRPr="00862128" w:rsidRDefault="00862128" w:rsidP="003664DF">
      <w:pPr>
        <w:rPr>
          <w:rFonts w:ascii="Times New Roman" w:hAnsi="Times New Roman"/>
          <w:b/>
          <w:bCs/>
          <w:i/>
          <w:iCs/>
          <w:sz w:val="28"/>
          <w:lang w:val="es-ES_tradnl"/>
        </w:rPr>
      </w:pPr>
      <w:r w:rsidRPr="00862128">
        <w:rPr>
          <w:rFonts w:ascii="Times New Roman" w:hAnsi="Times New Roman"/>
          <w:b/>
          <w:bCs/>
          <w:i/>
          <w:iCs/>
          <w:sz w:val="28"/>
          <w:szCs w:val="28"/>
        </w:rPr>
        <w:t xml:space="preserve">La firma no es un requisito necesario para perfeccionar el contrato de </w:t>
      </w:r>
      <w:r w:rsidRPr="00862128">
        <w:rPr>
          <w:rFonts w:ascii="Times New Roman" w:hAnsi="Times New Roman"/>
          <w:b/>
          <w:bCs/>
          <w:i/>
          <w:iCs/>
          <w:sz w:val="28"/>
          <w:szCs w:val="28"/>
          <w:lang w:val="es-ES_tradnl"/>
        </w:rPr>
        <w:t xml:space="preserve">mutuo </w:t>
      </w:r>
    </w:p>
    <w:p w:rsidR="00F64B8A" w:rsidRPr="00862128" w:rsidRDefault="00862128" w:rsidP="00F64B8A">
      <w:pPr>
        <w:rPr>
          <w:rFonts w:ascii="Times New Roman" w:hAnsi="Times New Roman"/>
          <w:sz w:val="28"/>
          <w:szCs w:val="28"/>
        </w:rPr>
      </w:pPr>
    </w:p>
    <w:p w:rsidR="00115526" w:rsidRPr="00862128" w:rsidRDefault="00862128" w:rsidP="00117CF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w:t>
      </w:r>
      <w:r w:rsidRPr="00862128">
        <w:rPr>
          <w:rFonts w:ascii="Times New Roman" w:hAnsi="Times New Roman"/>
          <w:sz w:val="28"/>
          <w:szCs w:val="28"/>
        </w:rPr>
        <w:t>l demandante no demostró que la f</w:t>
      </w:r>
      <w:r w:rsidRPr="00862128">
        <w:rPr>
          <w:rFonts w:ascii="Times New Roman" w:hAnsi="Times New Roman"/>
          <w:sz w:val="28"/>
          <w:szCs w:val="28"/>
        </w:rPr>
        <w:t xml:space="preserve">irma electrónica es un requisito </w:t>
      </w:r>
      <w:r w:rsidRPr="00862128">
        <w:rPr>
          <w:rFonts w:ascii="Times New Roman" w:hAnsi="Times New Roman"/>
          <w:sz w:val="28"/>
          <w:szCs w:val="28"/>
        </w:rPr>
        <w:t xml:space="preserve">necesario </w:t>
      </w:r>
      <w:r w:rsidRPr="00862128">
        <w:rPr>
          <w:rFonts w:ascii="Times New Roman" w:hAnsi="Times New Roman"/>
          <w:sz w:val="28"/>
          <w:szCs w:val="28"/>
        </w:rPr>
        <w:t xml:space="preserve">que la ley expresamente exige para perfeccionar el contrato de mutuo o de operaciones de crédito. </w:t>
      </w:r>
      <w:r w:rsidRPr="00862128">
        <w:rPr>
          <w:rFonts w:ascii="Times New Roman" w:hAnsi="Times New Roman"/>
          <w:sz w:val="28"/>
          <w:szCs w:val="28"/>
        </w:rPr>
        <w:t>Como se mencionó</w:t>
      </w:r>
      <w:r w:rsidRPr="00862128">
        <w:rPr>
          <w:rFonts w:ascii="Times New Roman" w:hAnsi="Times New Roman"/>
          <w:sz w:val="28"/>
          <w:szCs w:val="28"/>
        </w:rPr>
        <w:t xml:space="preserve">, de conformidad con la regulación colombiana: </w:t>
      </w:r>
      <w:r w:rsidRPr="00862128">
        <w:rPr>
          <w:rFonts w:ascii="Times New Roman" w:hAnsi="Times New Roman"/>
          <w:sz w:val="28"/>
          <w:szCs w:val="28"/>
        </w:rPr>
        <w:t xml:space="preserve">(i) </w:t>
      </w:r>
      <w:r w:rsidRPr="00862128">
        <w:rPr>
          <w:rFonts w:ascii="Times New Roman" w:hAnsi="Times New Roman"/>
          <w:sz w:val="28"/>
          <w:szCs w:val="28"/>
        </w:rPr>
        <w:t>e</w:t>
      </w:r>
      <w:r w:rsidRPr="00862128">
        <w:rPr>
          <w:rFonts w:ascii="Times New Roman" w:hAnsi="Times New Roman"/>
          <w:sz w:val="28"/>
          <w:szCs w:val="28"/>
        </w:rPr>
        <w:t xml:space="preserve">l uso de la firma no siempre es obligatorio </w:t>
      </w:r>
      <w:r w:rsidRPr="00862128">
        <w:rPr>
          <w:rFonts w:ascii="Times New Roman" w:hAnsi="Times New Roman"/>
          <w:sz w:val="28"/>
          <w:szCs w:val="28"/>
        </w:rPr>
        <w:t xml:space="preserve">sino cuando la ley exija el cumplimiento de una formalidad consistente en que un acto o contrato conste por escrito; (ii) </w:t>
      </w:r>
      <w:r w:rsidRPr="00862128">
        <w:rPr>
          <w:rFonts w:ascii="Times New Roman" w:hAnsi="Times New Roman"/>
          <w:sz w:val="28"/>
          <w:szCs w:val="28"/>
        </w:rPr>
        <w:t>e</w:t>
      </w:r>
      <w:r w:rsidRPr="00862128">
        <w:rPr>
          <w:rFonts w:ascii="Times New Roman" w:hAnsi="Times New Roman"/>
          <w:sz w:val="28"/>
          <w:szCs w:val="28"/>
        </w:rPr>
        <w:t>n materia de contratación, por ejemplo, muchos contratos no requieren la firma. Ese es el caso de los contratos consensuales que se p</w:t>
      </w:r>
      <w:r w:rsidRPr="00862128">
        <w:rPr>
          <w:rFonts w:ascii="Times New Roman" w:hAnsi="Times New Roman"/>
          <w:sz w:val="28"/>
          <w:szCs w:val="28"/>
        </w:rPr>
        <w:t>erfeccionan con el consentimiento</w:t>
      </w:r>
      <w:r w:rsidRPr="00862128">
        <w:rPr>
          <w:rFonts w:ascii="Times New Roman" w:hAnsi="Times New Roman"/>
          <w:sz w:val="28"/>
          <w:vertAlign w:val="superscript"/>
          <w:lang w:val="es-ES_tradnl"/>
        </w:rPr>
        <w:footnoteReference w:id="93"/>
      </w:r>
      <w:r w:rsidRPr="00862128">
        <w:rPr>
          <w:rFonts w:ascii="Times New Roman" w:hAnsi="Times New Roman"/>
          <w:sz w:val="28"/>
          <w:szCs w:val="28"/>
        </w:rPr>
        <w:t xml:space="preserve"> o de los contratos reales</w:t>
      </w:r>
      <w:r w:rsidRPr="00862128">
        <w:rPr>
          <w:rFonts w:ascii="Times New Roman" w:hAnsi="Times New Roman"/>
          <w:sz w:val="28"/>
          <w:vertAlign w:val="superscript"/>
          <w:lang w:val="es-ES_tradnl"/>
        </w:rPr>
        <w:footnoteReference w:id="94"/>
      </w:r>
      <w:r w:rsidRPr="00862128">
        <w:rPr>
          <w:rFonts w:ascii="Times New Roman" w:hAnsi="Times New Roman"/>
          <w:sz w:val="28"/>
          <w:szCs w:val="28"/>
        </w:rPr>
        <w:t xml:space="preserve"> que se perfeccionan con la tradición </w:t>
      </w:r>
      <w:r w:rsidRPr="00862128">
        <w:rPr>
          <w:rFonts w:ascii="Times New Roman" w:hAnsi="Times New Roman"/>
          <w:sz w:val="28"/>
          <w:szCs w:val="28"/>
        </w:rPr>
        <w:t xml:space="preserve">del bien </w:t>
      </w:r>
      <w:r w:rsidRPr="00862128">
        <w:rPr>
          <w:rFonts w:ascii="Times New Roman" w:hAnsi="Times New Roman"/>
          <w:sz w:val="28"/>
          <w:szCs w:val="28"/>
        </w:rPr>
        <w:t>objeto del contrato</w:t>
      </w:r>
      <w:r w:rsidRPr="00862128">
        <w:rPr>
          <w:rFonts w:ascii="Times New Roman" w:hAnsi="Times New Roman"/>
          <w:sz w:val="28"/>
          <w:szCs w:val="28"/>
        </w:rPr>
        <w:t>. Esto dice el artículo 1500 del Código Civil:</w:t>
      </w:r>
    </w:p>
    <w:p w:rsidR="00115526" w:rsidRPr="00862128" w:rsidRDefault="00862128" w:rsidP="00115526">
      <w:pPr>
        <w:pStyle w:val="Prrafodelista"/>
        <w:rPr>
          <w:rFonts w:ascii="Times New Roman" w:hAnsi="Times New Roman"/>
          <w:sz w:val="28"/>
          <w:szCs w:val="32"/>
        </w:rPr>
      </w:pPr>
    </w:p>
    <w:p w:rsidR="00115526" w:rsidRPr="00862128" w:rsidRDefault="00862128" w:rsidP="00115526">
      <w:pPr>
        <w:pStyle w:val="Prrafodelista"/>
        <w:tabs>
          <w:tab w:val="left" w:pos="567"/>
        </w:tabs>
        <w:ind w:left="567"/>
        <w:jc w:val="both"/>
        <w:rPr>
          <w:rFonts w:ascii="Times New Roman" w:hAnsi="Times New Roman"/>
          <w:sz w:val="28"/>
          <w:szCs w:val="32"/>
        </w:rPr>
      </w:pPr>
      <w:r w:rsidRPr="00862128">
        <w:rPr>
          <w:rFonts w:ascii="Times New Roman" w:hAnsi="Times New Roman"/>
          <w:color w:val="000000"/>
          <w:sz w:val="28"/>
          <w:szCs w:val="21"/>
        </w:rPr>
        <w:tab/>
        <w:t>“El contrato es real cuando, para que sea perfecto, es necesaria la tradición de</w:t>
      </w:r>
      <w:r w:rsidRPr="00862128">
        <w:rPr>
          <w:rFonts w:ascii="Times New Roman" w:hAnsi="Times New Roman"/>
          <w:color w:val="000000"/>
          <w:sz w:val="28"/>
          <w:szCs w:val="21"/>
        </w:rPr>
        <w:t xml:space="preserve"> la cosa a que se refiere; es solemne cuando está sujeto a la observancia de ciertas formalidades especiales, de manera que sin ellas no produce ningún efecto civil; y es consensual cuando se perfecciona por el solo consentimiento” </w:t>
      </w:r>
    </w:p>
    <w:p w:rsidR="00115526" w:rsidRPr="00862128" w:rsidRDefault="00862128" w:rsidP="00115526">
      <w:pPr>
        <w:pStyle w:val="Prrafodelista"/>
        <w:rPr>
          <w:rFonts w:ascii="Times New Roman" w:hAnsi="Times New Roman"/>
          <w:sz w:val="28"/>
          <w:szCs w:val="28"/>
        </w:rPr>
      </w:pPr>
    </w:p>
    <w:p w:rsidR="008B15E2" w:rsidRPr="00862128" w:rsidRDefault="00862128" w:rsidP="00893CEE">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 </w:t>
      </w:r>
      <w:r w:rsidRPr="00862128">
        <w:rPr>
          <w:rFonts w:ascii="Times New Roman" w:hAnsi="Times New Roman"/>
          <w:sz w:val="28"/>
          <w:szCs w:val="28"/>
          <w:lang w:val="es-ES_tradnl"/>
        </w:rPr>
        <w:t xml:space="preserve">En el caso del mutuo </w:t>
      </w:r>
      <w:r w:rsidRPr="00862128">
        <w:rPr>
          <w:rFonts w:ascii="Times New Roman" w:hAnsi="Times New Roman"/>
          <w:sz w:val="28"/>
          <w:szCs w:val="28"/>
          <w:lang w:val="es-ES_tradnl"/>
        </w:rPr>
        <w:t>o préstamo de consumo el contrato se perfecciona con la tradición</w:t>
      </w:r>
      <w:r w:rsidRPr="00862128">
        <w:rPr>
          <w:rFonts w:ascii="Times New Roman" w:hAnsi="Times New Roman"/>
          <w:sz w:val="28"/>
          <w:vertAlign w:val="superscript"/>
          <w:lang w:val="es-ES_tradnl"/>
        </w:rPr>
        <w:footnoteReference w:id="95"/>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 xml:space="preserve">Para su perfeccionamiento sólo se requiere que el mutuante entregue el dinero al mutuario. </w:t>
      </w:r>
      <w:r w:rsidRPr="00862128">
        <w:rPr>
          <w:rFonts w:ascii="Times New Roman" w:hAnsi="Times New Roman"/>
          <w:sz w:val="28"/>
          <w:szCs w:val="28"/>
          <w:lang w:val="es-ES_tradnl"/>
        </w:rPr>
        <w:t>En otras palabras, la ley no exige la presencia de una firma para que el mutuo genere efectos jur</w:t>
      </w:r>
      <w:r w:rsidRPr="00862128">
        <w:rPr>
          <w:rFonts w:ascii="Times New Roman" w:hAnsi="Times New Roman"/>
          <w:sz w:val="28"/>
          <w:szCs w:val="28"/>
          <w:lang w:val="es-ES_tradnl"/>
        </w:rPr>
        <w:t>ídicos</w:t>
      </w:r>
      <w:r w:rsidRPr="00862128">
        <w:rPr>
          <w:rFonts w:ascii="Times New Roman" w:hAnsi="Times New Roman"/>
          <w:sz w:val="28"/>
          <w:szCs w:val="28"/>
          <w:lang w:val="es-ES_tradnl"/>
        </w:rPr>
        <w:t>, tal y como lo señala en artículo 2222 del Código Civil:</w:t>
      </w:r>
    </w:p>
    <w:p w:rsidR="00115526" w:rsidRPr="00862128" w:rsidRDefault="00862128" w:rsidP="00115526">
      <w:pPr>
        <w:tabs>
          <w:tab w:val="left" w:pos="567"/>
        </w:tabs>
        <w:jc w:val="both"/>
        <w:rPr>
          <w:rFonts w:ascii="Times New Roman" w:hAnsi="Times New Roman"/>
          <w:sz w:val="28"/>
          <w:szCs w:val="28"/>
        </w:rPr>
      </w:pPr>
    </w:p>
    <w:p w:rsidR="00115526" w:rsidRPr="00862128" w:rsidRDefault="00862128" w:rsidP="00115526">
      <w:pPr>
        <w:tabs>
          <w:tab w:val="left" w:pos="567"/>
        </w:tabs>
        <w:ind w:left="567"/>
        <w:jc w:val="both"/>
        <w:rPr>
          <w:rFonts w:ascii="Times New Roman" w:hAnsi="Times New Roman"/>
          <w:sz w:val="28"/>
          <w:szCs w:val="28"/>
        </w:rPr>
      </w:pPr>
      <w:r w:rsidRPr="00862128">
        <w:rPr>
          <w:rFonts w:ascii="Times New Roman" w:hAnsi="Times New Roman"/>
          <w:sz w:val="28"/>
          <w:szCs w:val="28"/>
        </w:rPr>
        <w:tab/>
        <w:t xml:space="preserve">“No se perfecciona el contrato de mutuo sino por la tradición, y la tradición transfiere el dominio” </w:t>
      </w:r>
    </w:p>
    <w:p w:rsidR="008B15E2" w:rsidRPr="00862128" w:rsidRDefault="00862128" w:rsidP="00BE5143">
      <w:pPr>
        <w:pStyle w:val="Prrafodelista"/>
        <w:tabs>
          <w:tab w:val="left" w:pos="567"/>
        </w:tabs>
        <w:ind w:left="0"/>
        <w:jc w:val="both"/>
        <w:rPr>
          <w:rFonts w:ascii="Times New Roman" w:hAnsi="Times New Roman"/>
          <w:sz w:val="28"/>
          <w:szCs w:val="28"/>
          <w:lang w:val="es-ES_tradnl"/>
        </w:rPr>
      </w:pPr>
    </w:p>
    <w:p w:rsidR="002541A4"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lang w:val="es-ES_tradnl"/>
        </w:rPr>
        <w:t xml:space="preserve">En síntesis, </w:t>
      </w:r>
      <w:r w:rsidRPr="00862128">
        <w:rPr>
          <w:rFonts w:ascii="Times New Roman" w:hAnsi="Times New Roman"/>
          <w:sz w:val="28"/>
          <w:szCs w:val="28"/>
        </w:rPr>
        <w:t>si la ley no exige en todos los casos el uso de firma, su costo no puede presumirse como un componente necesario e inescindible del crédito. En consecuencia, no puede afirmarse, como lo hace el demandante, que el artículo 68 de la Ley 45 de 1990 obliga sie</w:t>
      </w:r>
      <w:r w:rsidRPr="00862128">
        <w:rPr>
          <w:rFonts w:ascii="Times New Roman" w:hAnsi="Times New Roman"/>
          <w:sz w:val="28"/>
          <w:szCs w:val="28"/>
        </w:rPr>
        <w:t>mpre a tratar ese costo como interés, ni que esa obligación exista de forma uniforme para todas las entidades vigiladas en todas las operaciones de crédito.</w:t>
      </w:r>
    </w:p>
    <w:p w:rsidR="0049017E" w:rsidRPr="00862128" w:rsidRDefault="00862128" w:rsidP="00BE5143">
      <w:pPr>
        <w:pStyle w:val="Prrafodelista"/>
        <w:tabs>
          <w:tab w:val="left" w:pos="567"/>
        </w:tabs>
        <w:ind w:left="0"/>
        <w:jc w:val="both"/>
        <w:rPr>
          <w:rStyle w:val="Ttulo4Car"/>
          <w:rFonts w:ascii="Times New Roman" w:hAnsi="Times New Roman"/>
          <w:sz w:val="28"/>
          <w:szCs w:val="28"/>
          <w:lang w:val="es-ES_tradnl"/>
        </w:rPr>
      </w:pPr>
    </w:p>
    <w:p w:rsidR="002F3C7F" w:rsidRPr="00862128" w:rsidRDefault="00862128" w:rsidP="003664DF">
      <w:pPr>
        <w:rPr>
          <w:rFonts w:ascii="Times New Roman" w:hAnsi="Times New Roman"/>
          <w:b/>
          <w:bCs/>
          <w:sz w:val="28"/>
          <w:lang w:val="es-ES_tradnl"/>
        </w:rPr>
      </w:pPr>
      <w:r w:rsidRPr="00862128">
        <w:rPr>
          <w:rStyle w:val="Ttulo4Car"/>
          <w:rFonts w:ascii="Times New Roman" w:hAnsi="Times New Roman"/>
          <w:b/>
          <w:bCs/>
          <w:color w:val="000000"/>
          <w:sz w:val="28"/>
          <w:szCs w:val="28"/>
        </w:rPr>
        <w:t xml:space="preserve">La </w:t>
      </w:r>
      <w:r w:rsidRPr="00862128">
        <w:rPr>
          <w:rStyle w:val="Ttulo4Car"/>
          <w:rFonts w:ascii="Times New Roman" w:hAnsi="Times New Roman"/>
          <w:b/>
          <w:bCs/>
          <w:color w:val="000000"/>
          <w:sz w:val="28"/>
          <w:szCs w:val="28"/>
        </w:rPr>
        <w:t>L</w:t>
      </w:r>
      <w:r w:rsidRPr="00862128">
        <w:rPr>
          <w:rStyle w:val="Ttulo4Car"/>
          <w:rFonts w:ascii="Times New Roman" w:hAnsi="Times New Roman"/>
          <w:b/>
          <w:bCs/>
          <w:color w:val="000000"/>
          <w:sz w:val="28"/>
          <w:szCs w:val="28"/>
        </w:rPr>
        <w:t xml:space="preserve">ey 1480 de 2011 no es una norma excluyente, sino </w:t>
      </w:r>
      <w:r w:rsidRPr="00862128">
        <w:rPr>
          <w:rStyle w:val="Ttulo4Car"/>
          <w:rFonts w:ascii="Times New Roman" w:hAnsi="Times New Roman"/>
          <w:b/>
          <w:bCs/>
          <w:color w:val="000000"/>
          <w:sz w:val="28"/>
          <w:szCs w:val="28"/>
        </w:rPr>
        <w:t>suplementaria</w:t>
      </w:r>
      <w:r w:rsidRPr="00862128">
        <w:rPr>
          <w:rStyle w:val="Ttulo4Car"/>
          <w:rFonts w:ascii="Times New Roman" w:hAnsi="Times New Roman"/>
          <w:b/>
          <w:bCs/>
          <w:color w:val="000000"/>
          <w:sz w:val="28"/>
          <w:szCs w:val="28"/>
        </w:rPr>
        <w:t xml:space="preserve"> de la Ley 45 de 1990</w:t>
      </w:r>
    </w:p>
    <w:p w:rsidR="00F64B8A" w:rsidRPr="00862128" w:rsidRDefault="00862128" w:rsidP="00BE5143">
      <w:pPr>
        <w:pStyle w:val="Prrafodelista"/>
        <w:tabs>
          <w:tab w:val="left" w:pos="567"/>
        </w:tabs>
        <w:ind w:left="0"/>
        <w:jc w:val="both"/>
        <w:rPr>
          <w:rFonts w:ascii="Times New Roman" w:hAnsi="Times New Roman"/>
          <w:sz w:val="28"/>
          <w:szCs w:val="28"/>
          <w:lang w:val="es-ES_tradnl"/>
        </w:rPr>
      </w:pPr>
    </w:p>
    <w:p w:rsidR="00F64B8A" w:rsidRPr="00862128" w:rsidRDefault="00862128" w:rsidP="00B56B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w:t>
      </w:r>
      <w:r w:rsidRPr="00862128">
        <w:rPr>
          <w:rFonts w:ascii="Times New Roman" w:hAnsi="Times New Roman"/>
          <w:sz w:val="28"/>
          <w:szCs w:val="28"/>
        </w:rPr>
        <w:t xml:space="preserve">l accionante </w:t>
      </w:r>
      <w:r w:rsidRPr="00862128">
        <w:rPr>
          <w:rFonts w:ascii="Times New Roman" w:hAnsi="Times New Roman"/>
          <w:sz w:val="28"/>
          <w:szCs w:val="28"/>
        </w:rPr>
        <w:t xml:space="preserve">compara el </w:t>
      </w:r>
      <w:r w:rsidRPr="00862128">
        <w:rPr>
          <w:rFonts w:ascii="Times New Roman" w:hAnsi="Times New Roman"/>
          <w:sz w:val="28"/>
          <w:szCs w:val="28"/>
        </w:rPr>
        <w:t xml:space="preserve">artículo </w:t>
      </w:r>
      <w:r w:rsidRPr="00862128">
        <w:rPr>
          <w:rFonts w:ascii="Times New Roman" w:hAnsi="Times New Roman"/>
          <w:sz w:val="28"/>
          <w:szCs w:val="28"/>
        </w:rPr>
        <w:t xml:space="preserve">68 de la Ley 45 de 1990 con el parágrafo 3 del artículo 45 de la Ley 1480 de 2011 </w:t>
      </w:r>
      <w:r w:rsidRPr="00862128">
        <w:rPr>
          <w:rFonts w:ascii="Times New Roman" w:hAnsi="Times New Roman"/>
          <w:sz w:val="28"/>
          <w:szCs w:val="28"/>
        </w:rPr>
        <w:t xml:space="preserve">como si fuesen excluyentes cuando en realidad, por mandato legal expreso, son </w:t>
      </w:r>
      <w:r w:rsidRPr="00862128">
        <w:rPr>
          <w:rFonts w:ascii="Times New Roman" w:hAnsi="Times New Roman"/>
          <w:sz w:val="28"/>
          <w:szCs w:val="28"/>
        </w:rPr>
        <w:t xml:space="preserve">normas </w:t>
      </w:r>
      <w:r w:rsidRPr="00862128">
        <w:rPr>
          <w:rFonts w:ascii="Times New Roman" w:hAnsi="Times New Roman"/>
          <w:sz w:val="28"/>
          <w:szCs w:val="28"/>
        </w:rPr>
        <w:t>suplementarias</w:t>
      </w:r>
      <w:r w:rsidRPr="00862128">
        <w:rPr>
          <w:rFonts w:ascii="Times New Roman" w:hAnsi="Times New Roman"/>
          <w:sz w:val="28"/>
          <w:szCs w:val="28"/>
        </w:rPr>
        <w:t>, tal y como lo ordena el artículo 2 de la</w:t>
      </w:r>
      <w:r w:rsidRPr="00862128">
        <w:rPr>
          <w:rFonts w:ascii="Times New Roman" w:hAnsi="Times New Roman"/>
          <w:sz w:val="28"/>
          <w:szCs w:val="28"/>
        </w:rPr>
        <w:t xml:space="preserve"> Ley 1480 de 2011</w:t>
      </w:r>
      <w:r w:rsidRPr="00862128">
        <w:rPr>
          <w:rFonts w:ascii="Times New Roman" w:hAnsi="Times New Roman"/>
          <w:sz w:val="28"/>
          <w:szCs w:val="28"/>
          <w:vertAlign w:val="superscript"/>
        </w:rPr>
        <w:footnoteReference w:id="96"/>
      </w:r>
      <w:r w:rsidRPr="00862128">
        <w:rPr>
          <w:rFonts w:ascii="Times New Roman" w:hAnsi="Times New Roman"/>
          <w:sz w:val="28"/>
          <w:szCs w:val="28"/>
        </w:rPr>
        <w:t>, a saber:</w:t>
      </w:r>
    </w:p>
    <w:p w:rsidR="00F64B8A" w:rsidRPr="00862128" w:rsidRDefault="00862128" w:rsidP="00F64B8A">
      <w:pPr>
        <w:pStyle w:val="Prrafodelista"/>
        <w:tabs>
          <w:tab w:val="left" w:pos="567"/>
        </w:tabs>
        <w:jc w:val="both"/>
        <w:rPr>
          <w:rFonts w:ascii="Times New Roman" w:hAnsi="Times New Roman"/>
          <w:sz w:val="28"/>
          <w:szCs w:val="28"/>
        </w:rPr>
      </w:pPr>
      <w:bookmarkStart w:id="23" w:name="2"/>
      <w:r w:rsidRPr="00862128">
        <w:rPr>
          <w:rFonts w:ascii="Times New Roman" w:hAnsi="Times New Roman"/>
          <w:b/>
          <w:bCs/>
          <w:sz w:val="28"/>
          <w:szCs w:val="28"/>
        </w:rPr>
        <w:br/>
      </w:r>
      <w:r w:rsidRPr="00862128">
        <w:rPr>
          <w:rFonts w:ascii="Times New Roman" w:hAnsi="Times New Roman"/>
          <w:sz w:val="28"/>
          <w:szCs w:val="28"/>
        </w:rPr>
        <w:t>Artículo 2o. Objeto</w:t>
      </w:r>
      <w:r w:rsidRPr="00862128">
        <w:rPr>
          <w:rFonts w:ascii="Times New Roman" w:hAnsi="Times New Roman"/>
          <w:sz w:val="28"/>
          <w:szCs w:val="28"/>
        </w:rPr>
        <w:t>.</w:t>
      </w:r>
      <w:bookmarkEnd w:id="23"/>
      <w:r w:rsidRPr="00862128">
        <w:rPr>
          <w:rFonts w:ascii="Times New Roman" w:hAnsi="Times New Roman"/>
          <w:sz w:val="28"/>
          <w:szCs w:val="28"/>
        </w:rPr>
        <w:t> Las normas de esta ley regulan los derechos y las obligaciones surgidas entre los productores, proveedores y consumidores y la responsabilidad de los productores y proveedores tanto sustancial como procesa</w:t>
      </w:r>
      <w:r w:rsidRPr="00862128">
        <w:rPr>
          <w:rFonts w:ascii="Times New Roman" w:hAnsi="Times New Roman"/>
          <w:sz w:val="28"/>
          <w:szCs w:val="28"/>
        </w:rPr>
        <w:t>lmente.</w:t>
      </w:r>
    </w:p>
    <w:p w:rsidR="00F64B8A" w:rsidRPr="00862128" w:rsidRDefault="00862128" w:rsidP="00F64B8A">
      <w:pPr>
        <w:pStyle w:val="Prrafodelista"/>
        <w:tabs>
          <w:tab w:val="left" w:pos="567"/>
        </w:tabs>
        <w:rPr>
          <w:rFonts w:ascii="Times New Roman" w:hAnsi="Times New Roman"/>
          <w:sz w:val="28"/>
          <w:szCs w:val="28"/>
        </w:rPr>
      </w:pPr>
    </w:p>
    <w:p w:rsidR="00F64B8A" w:rsidRPr="00862128" w:rsidRDefault="00862128" w:rsidP="00F64B8A">
      <w:pPr>
        <w:pStyle w:val="Prrafodelista"/>
        <w:tabs>
          <w:tab w:val="left" w:pos="567"/>
        </w:tabs>
        <w:jc w:val="both"/>
        <w:rPr>
          <w:rFonts w:ascii="Times New Roman" w:hAnsi="Times New Roman"/>
          <w:sz w:val="28"/>
          <w:szCs w:val="28"/>
        </w:rPr>
      </w:pPr>
      <w:r w:rsidRPr="00862128">
        <w:rPr>
          <w:rFonts w:ascii="Times New Roman" w:hAnsi="Times New Roman"/>
          <w:sz w:val="28"/>
          <w:szCs w:val="28"/>
        </w:rPr>
        <w:t>Las normas contenidas en esta ley son aplicables en general a las relaciones de consumo y a la responsabilidad de los productores y proveedores frente al consumidor en todos los sectores de la economía respecto de los cuales no exista regulación e</w:t>
      </w:r>
      <w:r w:rsidRPr="00862128">
        <w:rPr>
          <w:rFonts w:ascii="Times New Roman" w:hAnsi="Times New Roman"/>
          <w:sz w:val="28"/>
          <w:szCs w:val="28"/>
        </w:rPr>
        <w:t xml:space="preserve">special, evento en el cual aplicará la regulación especial </w:t>
      </w:r>
      <w:r w:rsidRPr="00862128">
        <w:rPr>
          <w:rFonts w:ascii="Times New Roman" w:hAnsi="Times New Roman"/>
          <w:b/>
          <w:bCs/>
          <w:sz w:val="28"/>
          <w:szCs w:val="28"/>
        </w:rPr>
        <w:t>y suplementariamente las normas establecidas en esta Ley</w:t>
      </w:r>
      <w:r w:rsidRPr="00862128">
        <w:rPr>
          <w:rFonts w:ascii="Times New Roman" w:hAnsi="Times New Roman"/>
          <w:sz w:val="28"/>
          <w:szCs w:val="28"/>
        </w:rPr>
        <w:t>.</w:t>
      </w:r>
    </w:p>
    <w:p w:rsidR="00F64B8A" w:rsidRPr="00862128" w:rsidRDefault="00862128" w:rsidP="00F64B8A">
      <w:pPr>
        <w:pStyle w:val="Prrafodelista"/>
        <w:tabs>
          <w:tab w:val="left" w:pos="567"/>
        </w:tabs>
        <w:rPr>
          <w:rFonts w:ascii="Times New Roman" w:hAnsi="Times New Roman"/>
          <w:sz w:val="28"/>
          <w:szCs w:val="28"/>
        </w:rPr>
      </w:pPr>
    </w:p>
    <w:p w:rsidR="00F64B8A" w:rsidRPr="00862128" w:rsidRDefault="00862128" w:rsidP="00F64B8A">
      <w:pPr>
        <w:pStyle w:val="Prrafodelista"/>
        <w:tabs>
          <w:tab w:val="left" w:pos="567"/>
        </w:tabs>
        <w:jc w:val="both"/>
        <w:rPr>
          <w:rFonts w:ascii="Times New Roman" w:hAnsi="Times New Roman"/>
          <w:sz w:val="28"/>
          <w:szCs w:val="28"/>
        </w:rPr>
      </w:pPr>
      <w:r w:rsidRPr="00862128">
        <w:rPr>
          <w:rFonts w:ascii="Times New Roman" w:hAnsi="Times New Roman"/>
          <w:sz w:val="28"/>
          <w:szCs w:val="28"/>
        </w:rPr>
        <w:t>Esta ley es aplicable a los productos nacionales e importados.”</w:t>
      </w:r>
      <w:r w:rsidRPr="00862128">
        <w:rPr>
          <w:rFonts w:ascii="Times New Roman" w:hAnsi="Times New Roman"/>
          <w:sz w:val="28"/>
          <w:szCs w:val="28"/>
        </w:rPr>
        <w:t xml:space="preserve"> (Énfasis añadido)</w:t>
      </w:r>
    </w:p>
    <w:p w:rsidR="00B059B6" w:rsidRPr="00862128" w:rsidRDefault="00862128" w:rsidP="00B059B6">
      <w:pPr>
        <w:pStyle w:val="Prrafodelista"/>
        <w:tabs>
          <w:tab w:val="left" w:pos="567"/>
        </w:tabs>
        <w:ind w:left="0"/>
        <w:jc w:val="both"/>
        <w:rPr>
          <w:rFonts w:ascii="Times New Roman" w:hAnsi="Times New Roman"/>
          <w:sz w:val="28"/>
          <w:szCs w:val="28"/>
        </w:rPr>
      </w:pPr>
    </w:p>
    <w:p w:rsidR="00893CEE" w:rsidRPr="00862128" w:rsidRDefault="00862128" w:rsidP="00F64B8A">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Como se observa, </w:t>
      </w:r>
      <w:r w:rsidRPr="00862128">
        <w:rPr>
          <w:rFonts w:ascii="Times New Roman" w:hAnsi="Times New Roman"/>
          <w:sz w:val="28"/>
          <w:szCs w:val="28"/>
        </w:rPr>
        <w:t>la Ley 1480 de 2011</w:t>
      </w:r>
      <w:r w:rsidRPr="00862128">
        <w:rPr>
          <w:rFonts w:ascii="Times New Roman" w:hAnsi="Times New Roman"/>
          <w:sz w:val="28"/>
          <w:szCs w:val="28"/>
        </w:rPr>
        <w:t xml:space="preserve"> es</w:t>
      </w:r>
      <w:r w:rsidRPr="00862128">
        <w:rPr>
          <w:rFonts w:ascii="Times New Roman" w:hAnsi="Times New Roman"/>
          <w:sz w:val="28"/>
          <w:szCs w:val="28"/>
        </w:rPr>
        <w:t xml:space="preserve"> un estatuto del consumidor de carácter general </w:t>
      </w:r>
      <w:r w:rsidRPr="00862128">
        <w:rPr>
          <w:rFonts w:ascii="Times New Roman" w:hAnsi="Times New Roman"/>
          <w:sz w:val="28"/>
          <w:szCs w:val="28"/>
        </w:rPr>
        <w:t>que rige</w:t>
      </w:r>
      <w:r w:rsidRPr="00862128">
        <w:rPr>
          <w:rFonts w:ascii="Times New Roman" w:hAnsi="Times New Roman"/>
          <w:sz w:val="28"/>
          <w:szCs w:val="28"/>
        </w:rPr>
        <w:t xml:space="preserve"> todas las relaciones de consumo si no hay una ley específica para un sector en particular. Si existe una regulación especial, esta se debe aplicar de manera preferentemente sobre la Ley 1480. </w:t>
      </w:r>
    </w:p>
    <w:p w:rsidR="00AF700B" w:rsidRPr="00862128" w:rsidRDefault="00862128" w:rsidP="00AF700B">
      <w:pPr>
        <w:pStyle w:val="Prrafodelista"/>
        <w:tabs>
          <w:tab w:val="left" w:pos="567"/>
        </w:tabs>
        <w:ind w:left="0"/>
        <w:jc w:val="both"/>
        <w:rPr>
          <w:rFonts w:ascii="Times New Roman" w:hAnsi="Times New Roman"/>
          <w:sz w:val="28"/>
          <w:szCs w:val="28"/>
        </w:rPr>
      </w:pPr>
    </w:p>
    <w:p w:rsidR="00E1636B" w:rsidRPr="00862128" w:rsidRDefault="00862128" w:rsidP="00750770">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Ahora</w:t>
      </w:r>
      <w:r w:rsidRPr="00862128">
        <w:rPr>
          <w:rFonts w:ascii="Times New Roman" w:hAnsi="Times New Roman"/>
          <w:sz w:val="28"/>
          <w:szCs w:val="28"/>
        </w:rPr>
        <w:t xml:space="preserve"> bien, la </w:t>
      </w:r>
      <w:r w:rsidRPr="00862128">
        <w:rPr>
          <w:rFonts w:ascii="Times New Roman" w:hAnsi="Times New Roman"/>
          <w:sz w:val="28"/>
          <w:szCs w:val="28"/>
        </w:rPr>
        <w:t>L</w:t>
      </w:r>
      <w:r w:rsidRPr="00862128">
        <w:rPr>
          <w:rFonts w:ascii="Times New Roman" w:hAnsi="Times New Roman"/>
          <w:sz w:val="28"/>
          <w:szCs w:val="28"/>
        </w:rPr>
        <w:t>ey 1480 también dice que sus disposiciones son de aplicación suplementaria a las normas especiales</w:t>
      </w:r>
      <w:r w:rsidRPr="00862128">
        <w:rPr>
          <w:rFonts w:ascii="Times New Roman" w:hAnsi="Times New Roman"/>
          <w:sz w:val="28"/>
          <w:szCs w:val="28"/>
        </w:rPr>
        <w:t xml:space="preserve">. </w:t>
      </w:r>
      <w:r w:rsidRPr="00862128">
        <w:rPr>
          <w:rFonts w:ascii="Times New Roman" w:hAnsi="Times New Roman"/>
          <w:sz w:val="28"/>
          <w:szCs w:val="28"/>
        </w:rPr>
        <w:t xml:space="preserve">Así las cosas, la Ley 1480 </w:t>
      </w:r>
      <w:r w:rsidRPr="00862128">
        <w:rPr>
          <w:rFonts w:ascii="Times New Roman" w:hAnsi="Times New Roman"/>
          <w:sz w:val="28"/>
          <w:szCs w:val="28"/>
        </w:rPr>
        <w:t>de 20</w:t>
      </w:r>
      <w:r w:rsidRPr="00862128">
        <w:rPr>
          <w:rFonts w:ascii="Times New Roman" w:hAnsi="Times New Roman"/>
          <w:sz w:val="28"/>
          <w:szCs w:val="28"/>
        </w:rPr>
        <w:t>1</w:t>
      </w:r>
      <w:r w:rsidRPr="00862128">
        <w:rPr>
          <w:rFonts w:ascii="Times New Roman" w:hAnsi="Times New Roman"/>
          <w:sz w:val="28"/>
          <w:szCs w:val="28"/>
        </w:rPr>
        <w:t xml:space="preserve">1 es una norma posterior a la Ley 45 de 1990 que </w:t>
      </w:r>
      <w:r w:rsidRPr="00862128">
        <w:rPr>
          <w:rFonts w:ascii="Times New Roman" w:hAnsi="Times New Roman"/>
          <w:sz w:val="28"/>
          <w:szCs w:val="28"/>
        </w:rPr>
        <w:t xml:space="preserve">se puede usar de forma supletiva para complementar o llenar </w:t>
      </w:r>
      <w:r w:rsidRPr="00862128">
        <w:rPr>
          <w:rFonts w:ascii="Times New Roman" w:hAnsi="Times New Roman"/>
          <w:sz w:val="28"/>
          <w:szCs w:val="28"/>
        </w:rPr>
        <w:t>vacíos de la regulación especial.</w:t>
      </w:r>
      <w:r w:rsidRPr="00862128">
        <w:rPr>
          <w:rFonts w:ascii="Times New Roman" w:hAnsi="Times New Roman"/>
          <w:sz w:val="28"/>
          <w:szCs w:val="28"/>
        </w:rPr>
        <w:t xml:space="preserve"> </w:t>
      </w:r>
    </w:p>
    <w:p w:rsidR="00E1636B" w:rsidRPr="00862128" w:rsidRDefault="00862128" w:rsidP="003664DF">
      <w:pPr>
        <w:pStyle w:val="Prrafodelista"/>
        <w:rPr>
          <w:rFonts w:ascii="Times New Roman" w:hAnsi="Times New Roman"/>
          <w:sz w:val="28"/>
          <w:szCs w:val="28"/>
        </w:rPr>
      </w:pPr>
    </w:p>
    <w:p w:rsidR="0077717D" w:rsidRPr="00862128" w:rsidRDefault="00862128" w:rsidP="0077717D">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w:t>
      </w:r>
      <w:r w:rsidRPr="00862128">
        <w:rPr>
          <w:rFonts w:ascii="Times New Roman" w:hAnsi="Times New Roman"/>
          <w:sz w:val="28"/>
          <w:szCs w:val="28"/>
        </w:rPr>
        <w:t xml:space="preserve">a ausencia de análisis de la Ley 1480 de 2011 como norma suplementaria </w:t>
      </w:r>
      <w:r w:rsidRPr="00862128">
        <w:rPr>
          <w:rFonts w:ascii="Times New Roman" w:hAnsi="Times New Roman"/>
          <w:sz w:val="28"/>
          <w:szCs w:val="28"/>
        </w:rPr>
        <w:t xml:space="preserve"> </w:t>
      </w:r>
      <w:r w:rsidRPr="00862128">
        <w:rPr>
          <w:rFonts w:ascii="Times New Roman" w:hAnsi="Times New Roman"/>
          <w:sz w:val="28"/>
          <w:szCs w:val="28"/>
        </w:rPr>
        <w:t xml:space="preserve">que complementa la </w:t>
      </w:r>
      <w:r w:rsidRPr="00862128">
        <w:rPr>
          <w:rFonts w:ascii="Times New Roman" w:hAnsi="Times New Roman"/>
          <w:sz w:val="28"/>
          <w:szCs w:val="28"/>
        </w:rPr>
        <w:t xml:space="preserve">Ley 45 de 1990 pone de presente que el razonamiento del demandante es incompleto porque descarta mandatos legales </w:t>
      </w:r>
      <w:r w:rsidRPr="00862128">
        <w:rPr>
          <w:rFonts w:ascii="Times New Roman" w:hAnsi="Times New Roman"/>
          <w:sz w:val="28"/>
          <w:szCs w:val="28"/>
        </w:rPr>
        <w:t xml:space="preserve">que </w:t>
      </w:r>
      <w:r w:rsidRPr="00862128">
        <w:rPr>
          <w:rFonts w:ascii="Times New Roman" w:hAnsi="Times New Roman"/>
          <w:sz w:val="28"/>
          <w:szCs w:val="28"/>
        </w:rPr>
        <w:t>podrían co</w:t>
      </w:r>
      <w:r w:rsidRPr="00862128">
        <w:rPr>
          <w:rFonts w:ascii="Times New Roman" w:hAnsi="Times New Roman"/>
          <w:sz w:val="28"/>
          <w:szCs w:val="28"/>
        </w:rPr>
        <w:t>nducir a conclusiones</w:t>
      </w:r>
      <w:r w:rsidRPr="00862128">
        <w:rPr>
          <w:rFonts w:ascii="Times New Roman" w:hAnsi="Times New Roman"/>
          <w:sz w:val="28"/>
          <w:szCs w:val="28"/>
        </w:rPr>
        <w:t xml:space="preserve"> diferentes</w:t>
      </w:r>
      <w:r w:rsidRPr="00862128">
        <w:rPr>
          <w:rFonts w:ascii="Times New Roman" w:hAnsi="Times New Roman"/>
          <w:sz w:val="28"/>
          <w:szCs w:val="28"/>
        </w:rPr>
        <w:t xml:space="preserve"> sobre l</w:t>
      </w:r>
      <w:r w:rsidRPr="00862128">
        <w:rPr>
          <w:rFonts w:ascii="Times New Roman" w:hAnsi="Times New Roman"/>
          <w:sz w:val="28"/>
          <w:szCs w:val="28"/>
        </w:rPr>
        <w:t>a firma electrónica</w:t>
      </w:r>
      <w:r w:rsidRPr="00862128">
        <w:rPr>
          <w:rFonts w:ascii="Times New Roman" w:hAnsi="Times New Roman"/>
          <w:sz w:val="28"/>
          <w:szCs w:val="28"/>
        </w:rPr>
        <w:t xml:space="preserve"> </w:t>
      </w:r>
      <w:r w:rsidRPr="00862128">
        <w:rPr>
          <w:rFonts w:ascii="Times New Roman" w:hAnsi="Times New Roman"/>
          <w:sz w:val="28"/>
          <w:szCs w:val="28"/>
        </w:rPr>
        <w:t xml:space="preserve">en </w:t>
      </w:r>
      <w:r w:rsidRPr="00862128">
        <w:rPr>
          <w:rFonts w:ascii="Times New Roman" w:hAnsi="Times New Roman"/>
          <w:sz w:val="28"/>
          <w:szCs w:val="28"/>
        </w:rPr>
        <w:t xml:space="preserve">el contexto del </w:t>
      </w:r>
      <w:r w:rsidRPr="00862128">
        <w:rPr>
          <w:rFonts w:ascii="Times New Roman" w:hAnsi="Times New Roman"/>
          <w:sz w:val="28"/>
          <w:szCs w:val="28"/>
        </w:rPr>
        <w:t xml:space="preserve">parágrafo adicionado por el artículo 7 de la Ley 2439 de 2024. </w:t>
      </w:r>
      <w:r w:rsidRPr="00862128">
        <w:rPr>
          <w:rFonts w:ascii="Times New Roman" w:hAnsi="Times New Roman"/>
          <w:sz w:val="28"/>
          <w:szCs w:val="28"/>
        </w:rPr>
        <w:t>Est</w:t>
      </w:r>
      <w:r w:rsidRPr="00862128">
        <w:rPr>
          <w:rFonts w:ascii="Times New Roman" w:hAnsi="Times New Roman"/>
          <w:sz w:val="28"/>
          <w:szCs w:val="28"/>
        </w:rPr>
        <w:t>o</w:t>
      </w:r>
      <w:r w:rsidRPr="00862128">
        <w:rPr>
          <w:rFonts w:ascii="Times New Roman" w:hAnsi="Times New Roman"/>
          <w:sz w:val="28"/>
          <w:szCs w:val="28"/>
        </w:rPr>
        <w:t xml:space="preserve"> genera </w:t>
      </w:r>
      <w:r w:rsidRPr="00862128">
        <w:rPr>
          <w:rFonts w:ascii="Times New Roman" w:hAnsi="Times New Roman"/>
          <w:sz w:val="28"/>
          <w:szCs w:val="28"/>
        </w:rPr>
        <w:t xml:space="preserve">incertidumbre </w:t>
      </w:r>
      <w:r w:rsidRPr="00862128">
        <w:rPr>
          <w:rFonts w:ascii="Times New Roman" w:hAnsi="Times New Roman"/>
          <w:sz w:val="28"/>
          <w:szCs w:val="28"/>
        </w:rPr>
        <w:t xml:space="preserve">en la </w:t>
      </w:r>
      <w:r w:rsidRPr="00862128">
        <w:rPr>
          <w:rFonts w:ascii="Times New Roman" w:hAnsi="Times New Roman"/>
          <w:sz w:val="28"/>
          <w:szCs w:val="28"/>
        </w:rPr>
        <w:t xml:space="preserve">demanda porque parte </w:t>
      </w:r>
      <w:r w:rsidRPr="00862128">
        <w:rPr>
          <w:rFonts w:ascii="Times New Roman" w:hAnsi="Times New Roman"/>
          <w:sz w:val="28"/>
          <w:szCs w:val="28"/>
        </w:rPr>
        <w:t xml:space="preserve">de un análisis </w:t>
      </w:r>
      <w:r w:rsidRPr="00862128">
        <w:rPr>
          <w:rFonts w:ascii="Times New Roman" w:hAnsi="Times New Roman"/>
          <w:sz w:val="28"/>
          <w:szCs w:val="28"/>
        </w:rPr>
        <w:t xml:space="preserve">parcial y aislado de </w:t>
      </w:r>
      <w:r w:rsidRPr="00862128">
        <w:rPr>
          <w:rFonts w:ascii="Times New Roman" w:hAnsi="Times New Roman"/>
          <w:sz w:val="28"/>
          <w:szCs w:val="28"/>
        </w:rPr>
        <w:t>la regulación pertinente</w:t>
      </w:r>
      <w:r w:rsidRPr="00862128">
        <w:rPr>
          <w:rFonts w:ascii="Times New Roman" w:hAnsi="Times New Roman"/>
          <w:sz w:val="28"/>
          <w:szCs w:val="28"/>
        </w:rPr>
        <w:t xml:space="preserve"> que </w:t>
      </w:r>
      <w:r w:rsidRPr="00862128">
        <w:rPr>
          <w:rFonts w:ascii="Times New Roman" w:hAnsi="Times New Roman"/>
          <w:sz w:val="28"/>
          <w:szCs w:val="28"/>
        </w:rPr>
        <w:t>le resta solidez y claridad a la misma.</w:t>
      </w:r>
    </w:p>
    <w:p w:rsidR="00275E98" w:rsidRPr="00862128" w:rsidRDefault="00862128" w:rsidP="00275E98">
      <w:pPr>
        <w:rPr>
          <w:rFonts w:ascii="Times New Roman" w:hAnsi="Times New Roman"/>
          <w:sz w:val="28"/>
        </w:rPr>
      </w:pPr>
    </w:p>
    <w:p w:rsidR="0077717D" w:rsidRPr="00862128" w:rsidRDefault="00862128" w:rsidP="003664DF">
      <w:pPr>
        <w:rPr>
          <w:rFonts w:ascii="Times New Roman" w:hAnsi="Times New Roman"/>
          <w:b/>
          <w:bCs/>
          <w:i/>
          <w:iCs/>
          <w:sz w:val="28"/>
          <w:lang w:val="es-ES_tradnl"/>
        </w:rPr>
      </w:pPr>
      <w:r w:rsidRPr="00862128">
        <w:rPr>
          <w:rFonts w:ascii="Times New Roman" w:hAnsi="Times New Roman"/>
          <w:b/>
          <w:bCs/>
          <w:i/>
          <w:iCs/>
          <w:sz w:val="28"/>
          <w:szCs w:val="28"/>
          <w:lang w:val="es-ES_tradnl"/>
        </w:rPr>
        <w:t>El cargo sobre violación al principio a la igualdad no cumple los requisitos de certeza, especificidad, pertinencia y suficiencia</w:t>
      </w:r>
    </w:p>
    <w:p w:rsidR="0077717D" w:rsidRPr="00862128" w:rsidRDefault="00862128" w:rsidP="0077717D">
      <w:pPr>
        <w:rPr>
          <w:rFonts w:ascii="Times New Roman" w:hAnsi="Times New Roman"/>
          <w:sz w:val="28"/>
          <w:szCs w:val="28"/>
        </w:rPr>
      </w:pPr>
    </w:p>
    <w:p w:rsidR="0077717D" w:rsidRPr="00862128" w:rsidRDefault="00862128" w:rsidP="003664DF">
      <w:pPr>
        <w:jc w:val="both"/>
        <w:rPr>
          <w:rFonts w:ascii="Times New Roman" w:hAnsi="Times New Roman"/>
          <w:sz w:val="28"/>
          <w:szCs w:val="28"/>
          <w:lang w:val="es-ES_tradnl"/>
        </w:rPr>
      </w:pPr>
      <w:r w:rsidRPr="00862128">
        <w:rPr>
          <w:rFonts w:ascii="Times New Roman" w:hAnsi="Times New Roman"/>
          <w:sz w:val="28"/>
          <w:szCs w:val="28"/>
          <w:lang w:val="es-ES_tradnl"/>
        </w:rPr>
        <w:t>Estas son las razones por la cuales el cargo por violación al principio de igua</w:t>
      </w:r>
      <w:r w:rsidRPr="00862128">
        <w:rPr>
          <w:rFonts w:ascii="Times New Roman" w:hAnsi="Times New Roman"/>
          <w:sz w:val="28"/>
          <w:szCs w:val="28"/>
          <w:lang w:val="es-ES_tradnl"/>
        </w:rPr>
        <w:t xml:space="preserve">ldad incumple los requisitos de certeza, especificidad, pertinencia y suficiencia. </w:t>
      </w:r>
    </w:p>
    <w:p w:rsidR="0077717D" w:rsidRPr="00862128" w:rsidRDefault="00862128" w:rsidP="0077717D">
      <w:pPr>
        <w:rPr>
          <w:rFonts w:ascii="Times New Roman" w:hAnsi="Times New Roman"/>
          <w:b/>
          <w:bCs/>
          <w:color w:val="000000"/>
          <w:sz w:val="28"/>
          <w:szCs w:val="28"/>
          <w:lang w:val="es-ES_tradnl"/>
        </w:rPr>
      </w:pPr>
    </w:p>
    <w:p w:rsidR="0077717D" w:rsidRPr="00862128" w:rsidRDefault="00862128" w:rsidP="0077717D">
      <w:pPr>
        <w:rPr>
          <w:rFonts w:ascii="Times New Roman" w:hAnsi="Times New Roman"/>
          <w:b/>
          <w:bCs/>
          <w:i/>
          <w:iCs/>
          <w:color w:val="000000"/>
          <w:sz w:val="28"/>
          <w:szCs w:val="28"/>
        </w:rPr>
      </w:pPr>
      <w:r w:rsidRPr="00862128">
        <w:rPr>
          <w:rFonts w:ascii="Times New Roman" w:hAnsi="Times New Roman"/>
          <w:b/>
          <w:bCs/>
          <w:i/>
          <w:iCs/>
          <w:color w:val="000000"/>
          <w:sz w:val="28"/>
          <w:szCs w:val="28"/>
        </w:rPr>
        <w:t>Certeza</w:t>
      </w:r>
    </w:p>
    <w:p w:rsidR="0077717D" w:rsidRPr="00862128" w:rsidRDefault="00862128" w:rsidP="003664DF">
      <w:pPr>
        <w:rPr>
          <w:rFonts w:ascii="Times New Roman" w:hAnsi="Times New Roman"/>
          <w:sz w:val="28"/>
          <w:szCs w:val="28"/>
        </w:rPr>
      </w:pPr>
    </w:p>
    <w:p w:rsidR="00AD4F6B" w:rsidRPr="00862128" w:rsidRDefault="00862128" w:rsidP="0077717D">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Como se señaló, e</w:t>
      </w:r>
      <w:r w:rsidRPr="00862128">
        <w:rPr>
          <w:rFonts w:ascii="Times New Roman" w:hAnsi="Times New Roman"/>
          <w:sz w:val="28"/>
          <w:szCs w:val="28"/>
        </w:rPr>
        <w:t xml:space="preserve">l requisito de certeza exige que el cargo recaiga directamente sobre el contenido de la </w:t>
      </w:r>
      <w:r w:rsidRPr="00862128">
        <w:rPr>
          <w:rFonts w:ascii="Times New Roman" w:hAnsi="Times New Roman"/>
          <w:sz w:val="28"/>
          <w:szCs w:val="28"/>
        </w:rPr>
        <w:t xml:space="preserve">norma </w:t>
      </w:r>
      <w:r w:rsidRPr="00862128">
        <w:rPr>
          <w:rFonts w:ascii="Times New Roman" w:hAnsi="Times New Roman"/>
          <w:sz w:val="28"/>
          <w:szCs w:val="28"/>
        </w:rPr>
        <w:t xml:space="preserve">demandada y no sobre una proposición jurídica </w:t>
      </w:r>
      <w:r w:rsidRPr="00862128">
        <w:rPr>
          <w:rFonts w:ascii="Times New Roman" w:hAnsi="Times New Roman"/>
          <w:sz w:val="28"/>
          <w:szCs w:val="28"/>
        </w:rPr>
        <w:t>inferida o deducida por el actor e incluso sobre otras normas que, en todo caso, no son objeto de la demanda.</w:t>
      </w:r>
      <w:r w:rsidRPr="00862128">
        <w:rPr>
          <w:rFonts w:ascii="Times New Roman" w:hAnsi="Times New Roman"/>
          <w:sz w:val="28"/>
          <w:szCs w:val="28"/>
        </w:rPr>
        <w:t xml:space="preserve"> </w:t>
      </w:r>
      <w:r w:rsidRPr="00862128">
        <w:rPr>
          <w:rFonts w:ascii="Times New Roman" w:hAnsi="Times New Roman"/>
          <w:sz w:val="28"/>
          <w:szCs w:val="28"/>
        </w:rPr>
        <w:t xml:space="preserve">Es necesario </w:t>
      </w:r>
      <w:r w:rsidRPr="00862128">
        <w:rPr>
          <w:rFonts w:ascii="Times New Roman" w:hAnsi="Times New Roman"/>
          <w:sz w:val="28"/>
          <w:szCs w:val="28"/>
        </w:rPr>
        <w:t xml:space="preserve">que </w:t>
      </w:r>
      <w:r w:rsidRPr="00862128">
        <w:rPr>
          <w:rFonts w:ascii="Times New Roman" w:hAnsi="Times New Roman"/>
          <w:sz w:val="28"/>
          <w:szCs w:val="28"/>
        </w:rPr>
        <w:t xml:space="preserve">la </w:t>
      </w:r>
      <w:r w:rsidRPr="00862128">
        <w:rPr>
          <w:rFonts w:ascii="Times New Roman" w:hAnsi="Times New Roman"/>
          <w:sz w:val="28"/>
          <w:szCs w:val="28"/>
        </w:rPr>
        <w:t xml:space="preserve">norma demandada </w:t>
      </w:r>
      <w:r w:rsidRPr="00862128">
        <w:rPr>
          <w:rFonts w:ascii="Times New Roman" w:hAnsi="Times New Roman"/>
          <w:sz w:val="28"/>
          <w:szCs w:val="28"/>
        </w:rPr>
        <w:t xml:space="preserve">sea </w:t>
      </w:r>
      <w:r w:rsidRPr="00862128">
        <w:rPr>
          <w:rFonts w:ascii="Times New Roman" w:hAnsi="Times New Roman"/>
          <w:sz w:val="28"/>
          <w:szCs w:val="28"/>
        </w:rPr>
        <w:t>susceptible de inferirse del enunciado acusado y no ser fruto de una construcción exclusivamente subjetiva</w:t>
      </w:r>
      <w:r w:rsidRPr="00862128">
        <w:rPr>
          <w:rFonts w:ascii="Times New Roman" w:hAnsi="Times New Roman"/>
          <w:sz w:val="28"/>
          <w:szCs w:val="28"/>
        </w:rPr>
        <w:t>, con base en presunciones, conjeturas o sospechas del actor.</w:t>
      </w:r>
    </w:p>
    <w:p w:rsidR="006376DE" w:rsidRPr="00862128" w:rsidRDefault="00862128" w:rsidP="003664DF">
      <w:pPr>
        <w:rPr>
          <w:rFonts w:ascii="Times New Roman" w:hAnsi="Times New Roman"/>
          <w:sz w:val="28"/>
          <w:szCs w:val="28"/>
        </w:rPr>
      </w:pPr>
    </w:p>
    <w:p w:rsidR="00125BAF" w:rsidRPr="00862128" w:rsidRDefault="00862128" w:rsidP="00EF0B22">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La demanda no satisface el requisito de certeza porque no parte de una interpretación directa y objetiva de la norma acusada</w:t>
      </w:r>
      <w:r w:rsidRPr="00862128">
        <w:rPr>
          <w:rFonts w:ascii="Times New Roman" w:hAnsi="Times New Roman"/>
          <w:sz w:val="28"/>
          <w:szCs w:val="28"/>
        </w:rPr>
        <w:t xml:space="preserve">, sino </w:t>
      </w:r>
      <w:r w:rsidRPr="00862128">
        <w:rPr>
          <w:rFonts w:ascii="Times New Roman" w:hAnsi="Times New Roman"/>
          <w:sz w:val="28"/>
          <w:szCs w:val="28"/>
        </w:rPr>
        <w:t xml:space="preserve">que gira en torno a </w:t>
      </w:r>
      <w:r w:rsidRPr="00862128">
        <w:rPr>
          <w:rFonts w:ascii="Times New Roman" w:hAnsi="Times New Roman"/>
          <w:sz w:val="28"/>
          <w:szCs w:val="28"/>
        </w:rPr>
        <w:t xml:space="preserve">la interpretación de un artículo que no fue objeto de la demanda de inconstitucionalidad. En efecto, el argumento </w:t>
      </w:r>
      <w:r w:rsidRPr="00862128">
        <w:rPr>
          <w:rFonts w:ascii="Times New Roman" w:hAnsi="Times New Roman"/>
          <w:sz w:val="28"/>
          <w:szCs w:val="28"/>
        </w:rPr>
        <w:t xml:space="preserve">determinante </w:t>
      </w:r>
      <w:r w:rsidRPr="00862128">
        <w:rPr>
          <w:rFonts w:ascii="Times New Roman" w:hAnsi="Times New Roman"/>
          <w:sz w:val="28"/>
          <w:szCs w:val="28"/>
        </w:rPr>
        <w:t xml:space="preserve">de la acusación no recae sobre la </w:t>
      </w:r>
      <w:r w:rsidRPr="00862128">
        <w:rPr>
          <w:rFonts w:ascii="Times New Roman" w:hAnsi="Times New Roman"/>
          <w:sz w:val="28"/>
          <w:szCs w:val="28"/>
        </w:rPr>
        <w:t>expresión</w:t>
      </w:r>
      <w:r w:rsidRPr="00862128">
        <w:rPr>
          <w:rFonts w:ascii="Times New Roman" w:hAnsi="Times New Roman"/>
          <w:sz w:val="28"/>
          <w:szCs w:val="28"/>
        </w:rPr>
        <w:t xml:space="preserve"> demandada (</w:t>
      </w:r>
      <w:r w:rsidRPr="00862128">
        <w:rPr>
          <w:rFonts w:ascii="Times New Roman" w:hAnsi="Times New Roman"/>
          <w:sz w:val="28"/>
          <w:szCs w:val="28"/>
        </w:rPr>
        <w:t xml:space="preserve"> “firma electrónica del </w:t>
      </w:r>
      <w:r w:rsidRPr="00862128">
        <w:rPr>
          <w:rFonts w:ascii="Times New Roman" w:hAnsi="Times New Roman"/>
          <w:sz w:val="28"/>
          <w:szCs w:val="28"/>
        </w:rPr>
        <w:t>parágrafo 3 del artículo 45 de la Ley 1480 de 2011</w:t>
      </w:r>
      <w:r w:rsidRPr="00862128">
        <w:rPr>
          <w:rFonts w:ascii="Times New Roman" w:hAnsi="Times New Roman"/>
          <w:sz w:val="28"/>
          <w:szCs w:val="28"/>
        </w:rPr>
        <w:t>, adicionado por el artículo 7 de la Ley 2439 de 2024)</w:t>
      </w:r>
      <w:r w:rsidRPr="00862128">
        <w:rPr>
          <w:rFonts w:ascii="Times New Roman" w:hAnsi="Times New Roman"/>
          <w:sz w:val="28"/>
          <w:szCs w:val="28"/>
        </w:rPr>
        <w:t xml:space="preserve">, sino sobre la </w:t>
      </w:r>
      <w:r w:rsidRPr="00862128">
        <w:rPr>
          <w:rFonts w:ascii="Times New Roman" w:hAnsi="Times New Roman"/>
          <w:sz w:val="28"/>
          <w:szCs w:val="28"/>
        </w:rPr>
        <w:t>lectura personal de</w:t>
      </w:r>
      <w:r w:rsidRPr="00862128">
        <w:rPr>
          <w:rFonts w:ascii="Times New Roman" w:hAnsi="Times New Roman"/>
          <w:sz w:val="28"/>
          <w:szCs w:val="28"/>
        </w:rPr>
        <w:t xml:space="preserve"> un</w:t>
      </w:r>
      <w:r w:rsidRPr="00862128">
        <w:rPr>
          <w:rFonts w:ascii="Times New Roman" w:hAnsi="Times New Roman"/>
          <w:sz w:val="28"/>
          <w:szCs w:val="28"/>
        </w:rPr>
        <w:t>a norma</w:t>
      </w:r>
      <w:r w:rsidRPr="00862128">
        <w:rPr>
          <w:rFonts w:ascii="Times New Roman" w:hAnsi="Times New Roman"/>
          <w:sz w:val="28"/>
          <w:szCs w:val="28"/>
        </w:rPr>
        <w:t xml:space="preserve"> diferente a</w:t>
      </w:r>
      <w:r w:rsidRPr="00862128">
        <w:rPr>
          <w:rFonts w:ascii="Times New Roman" w:hAnsi="Times New Roman"/>
          <w:sz w:val="28"/>
          <w:szCs w:val="28"/>
        </w:rPr>
        <w:t xml:space="preserve"> </w:t>
      </w:r>
      <w:r w:rsidRPr="00862128">
        <w:rPr>
          <w:rFonts w:ascii="Times New Roman" w:hAnsi="Times New Roman"/>
          <w:sz w:val="28"/>
          <w:szCs w:val="28"/>
        </w:rPr>
        <w:t>l</w:t>
      </w:r>
      <w:r w:rsidRPr="00862128">
        <w:rPr>
          <w:rFonts w:ascii="Times New Roman" w:hAnsi="Times New Roman"/>
          <w:sz w:val="28"/>
          <w:szCs w:val="28"/>
        </w:rPr>
        <w:t>a</w:t>
      </w:r>
      <w:r w:rsidRPr="00862128">
        <w:rPr>
          <w:rFonts w:ascii="Times New Roman" w:hAnsi="Times New Roman"/>
          <w:sz w:val="28"/>
          <w:szCs w:val="28"/>
        </w:rPr>
        <w:t xml:space="preserve"> demandad</w:t>
      </w:r>
      <w:r w:rsidRPr="00862128">
        <w:rPr>
          <w:rFonts w:ascii="Times New Roman" w:hAnsi="Times New Roman"/>
          <w:sz w:val="28"/>
          <w:szCs w:val="28"/>
        </w:rPr>
        <w:t>a</w:t>
      </w:r>
      <w:r w:rsidRPr="00862128">
        <w:rPr>
          <w:rFonts w:ascii="Times New Roman" w:hAnsi="Times New Roman"/>
          <w:sz w:val="28"/>
          <w:szCs w:val="28"/>
        </w:rPr>
        <w:t xml:space="preserve"> (</w:t>
      </w:r>
      <w:r w:rsidRPr="00862128">
        <w:rPr>
          <w:rFonts w:ascii="Times New Roman" w:hAnsi="Times New Roman"/>
          <w:sz w:val="28"/>
          <w:szCs w:val="28"/>
        </w:rPr>
        <w:t>artículo 68 de la Ley 45 de 1990</w:t>
      </w:r>
      <w:r w:rsidRPr="00862128">
        <w:rPr>
          <w:rFonts w:ascii="Times New Roman" w:hAnsi="Times New Roman"/>
          <w:sz w:val="28"/>
          <w:szCs w:val="28"/>
        </w:rPr>
        <w:t>)</w:t>
      </w:r>
      <w:r w:rsidRPr="00862128">
        <w:rPr>
          <w:rFonts w:ascii="Times New Roman" w:hAnsi="Times New Roman"/>
          <w:sz w:val="28"/>
          <w:szCs w:val="28"/>
        </w:rPr>
        <w:t>, lo que introduce incertidumbre en los supuestos que sostienen el cargo</w:t>
      </w:r>
      <w:r w:rsidRPr="00862128">
        <w:rPr>
          <w:rFonts w:ascii="Times New Roman" w:hAnsi="Times New Roman"/>
          <w:sz w:val="28"/>
          <w:szCs w:val="28"/>
        </w:rPr>
        <w:t xml:space="preserve"> para impugnar la norma d</w:t>
      </w:r>
      <w:r w:rsidRPr="00862128">
        <w:rPr>
          <w:rFonts w:ascii="Times New Roman" w:hAnsi="Times New Roman"/>
          <w:sz w:val="28"/>
          <w:szCs w:val="28"/>
        </w:rPr>
        <w:t>emandada</w:t>
      </w:r>
      <w:r w:rsidRPr="00862128">
        <w:rPr>
          <w:rFonts w:ascii="Times New Roman" w:hAnsi="Times New Roman"/>
          <w:sz w:val="28"/>
          <w:szCs w:val="28"/>
        </w:rPr>
        <w:t>.</w:t>
      </w:r>
      <w:r w:rsidRPr="00862128">
        <w:rPr>
          <w:rFonts w:ascii="Times New Roman" w:hAnsi="Times New Roman"/>
          <w:sz w:val="28"/>
          <w:szCs w:val="28"/>
        </w:rPr>
        <w:t xml:space="preserve"> </w:t>
      </w:r>
    </w:p>
    <w:p w:rsidR="00125BAF" w:rsidRPr="00862128" w:rsidRDefault="00862128" w:rsidP="003664DF">
      <w:pPr>
        <w:pStyle w:val="Prrafodelista"/>
        <w:rPr>
          <w:rFonts w:ascii="Times New Roman" w:hAnsi="Times New Roman"/>
          <w:sz w:val="28"/>
          <w:szCs w:val="28"/>
        </w:rPr>
      </w:pPr>
    </w:p>
    <w:p w:rsidR="00EF0B22" w:rsidRPr="00862128" w:rsidRDefault="00862128" w:rsidP="00EF0B22">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Adicionalmente, e</w:t>
      </w:r>
      <w:r w:rsidRPr="00862128">
        <w:rPr>
          <w:rFonts w:ascii="Times New Roman" w:hAnsi="Times New Roman"/>
          <w:sz w:val="28"/>
          <w:szCs w:val="28"/>
        </w:rPr>
        <w:t xml:space="preserve">l demandante no </w:t>
      </w:r>
      <w:r w:rsidRPr="00862128">
        <w:rPr>
          <w:rFonts w:ascii="Times New Roman" w:hAnsi="Times New Roman"/>
          <w:sz w:val="28"/>
          <w:szCs w:val="28"/>
        </w:rPr>
        <w:t>comprobó</w:t>
      </w:r>
      <w:r w:rsidRPr="00862128">
        <w:rPr>
          <w:rFonts w:ascii="Times New Roman" w:hAnsi="Times New Roman"/>
          <w:sz w:val="28"/>
          <w:szCs w:val="28"/>
        </w:rPr>
        <w:t xml:space="preserve"> que, a partir de los supuestos expresos del artículo 68, se derive de manera objetiva y general la obligación que afirma, esto es, que todas las entidades vigiladas deban tratar el costo de la firma ele</w:t>
      </w:r>
      <w:r w:rsidRPr="00862128">
        <w:rPr>
          <w:rFonts w:ascii="Times New Roman" w:hAnsi="Times New Roman"/>
          <w:sz w:val="28"/>
          <w:szCs w:val="28"/>
        </w:rPr>
        <w:t>ctrónica como interés en cualquier operación de crédito.</w:t>
      </w:r>
    </w:p>
    <w:p w:rsidR="00EF0B22" w:rsidRPr="00862128" w:rsidRDefault="00862128" w:rsidP="00EF0B22">
      <w:pPr>
        <w:pStyle w:val="Prrafodelista"/>
        <w:tabs>
          <w:tab w:val="left" w:pos="567"/>
        </w:tabs>
        <w:ind w:left="0"/>
        <w:jc w:val="both"/>
        <w:rPr>
          <w:rFonts w:ascii="Times New Roman" w:hAnsi="Times New Roman"/>
          <w:sz w:val="28"/>
          <w:szCs w:val="28"/>
        </w:rPr>
      </w:pPr>
    </w:p>
    <w:p w:rsidR="00EF0B22" w:rsidRPr="00862128" w:rsidRDefault="00862128" w:rsidP="00EF0B22">
      <w:pPr>
        <w:pStyle w:val="Prrafodelista"/>
        <w:tabs>
          <w:tab w:val="left" w:pos="567"/>
        </w:tabs>
        <w:ind w:left="0"/>
        <w:jc w:val="both"/>
        <w:rPr>
          <w:rFonts w:ascii="Times New Roman" w:hAnsi="Times New Roman"/>
          <w:b/>
          <w:bCs/>
          <w:i/>
          <w:iCs/>
          <w:color w:val="000000"/>
          <w:sz w:val="28"/>
          <w:szCs w:val="28"/>
        </w:rPr>
      </w:pPr>
      <w:r w:rsidRPr="00862128">
        <w:rPr>
          <w:rFonts w:ascii="Times New Roman" w:hAnsi="Times New Roman"/>
          <w:b/>
          <w:bCs/>
          <w:i/>
          <w:iCs/>
          <w:color w:val="000000"/>
          <w:sz w:val="28"/>
          <w:szCs w:val="28"/>
        </w:rPr>
        <w:t>Especificidad</w:t>
      </w:r>
    </w:p>
    <w:p w:rsidR="00EF0B22" w:rsidRPr="00862128" w:rsidRDefault="00862128" w:rsidP="00B56BDF">
      <w:pPr>
        <w:rPr>
          <w:rFonts w:ascii="Times New Roman" w:hAnsi="Times New Roman"/>
          <w:sz w:val="28"/>
          <w:szCs w:val="28"/>
        </w:rPr>
      </w:pPr>
    </w:p>
    <w:p w:rsidR="006376DE" w:rsidRPr="00862128" w:rsidRDefault="00862128" w:rsidP="00B56217">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El requisito de especificidad exige que se explique claramente cómo la norma demandada viola la Constitución. Esto se debe hacer con argumentos concretos y precisos sobre la norma en cuestión. Es </w:t>
      </w:r>
      <w:r w:rsidRPr="00862128">
        <w:rPr>
          <w:rFonts w:ascii="Times New Roman" w:hAnsi="Times New Roman"/>
          <w:sz w:val="28"/>
          <w:szCs w:val="28"/>
        </w:rPr>
        <w:t>necesario</w:t>
      </w:r>
      <w:r w:rsidRPr="00862128">
        <w:rPr>
          <w:rFonts w:ascii="Times New Roman" w:hAnsi="Times New Roman"/>
          <w:sz w:val="28"/>
          <w:szCs w:val="28"/>
        </w:rPr>
        <w:t xml:space="preserve"> </w:t>
      </w:r>
      <w:r w:rsidRPr="00862128">
        <w:rPr>
          <w:rFonts w:ascii="Times New Roman" w:hAnsi="Times New Roman"/>
          <w:sz w:val="28"/>
          <w:szCs w:val="28"/>
        </w:rPr>
        <w:t xml:space="preserve">acreditar </w:t>
      </w:r>
      <w:r w:rsidRPr="00862128">
        <w:rPr>
          <w:rFonts w:ascii="Times New Roman" w:hAnsi="Times New Roman"/>
          <w:sz w:val="28"/>
          <w:szCs w:val="28"/>
        </w:rPr>
        <w:t xml:space="preserve">que existe una contradicción objetiva y </w:t>
      </w:r>
      <w:r w:rsidRPr="00862128">
        <w:rPr>
          <w:rFonts w:ascii="Times New Roman" w:hAnsi="Times New Roman"/>
          <w:sz w:val="28"/>
          <w:szCs w:val="28"/>
        </w:rPr>
        <w:t xml:space="preserve">comprobable entre el contenido de la disposición acusada y la Constitución. Por lo tanto, no son admisibles argumentos vagos, </w:t>
      </w:r>
      <w:r w:rsidRPr="00862128">
        <w:rPr>
          <w:rFonts w:ascii="Times New Roman" w:hAnsi="Times New Roman"/>
          <w:sz w:val="28"/>
          <w:szCs w:val="28"/>
        </w:rPr>
        <w:t xml:space="preserve">confusos, </w:t>
      </w:r>
      <w:r w:rsidRPr="00862128">
        <w:rPr>
          <w:rFonts w:ascii="Times New Roman" w:hAnsi="Times New Roman"/>
          <w:sz w:val="28"/>
          <w:szCs w:val="28"/>
        </w:rPr>
        <w:t xml:space="preserve">indeterminados, indirectos, abstractos </w:t>
      </w:r>
      <w:r w:rsidRPr="00862128">
        <w:rPr>
          <w:rFonts w:ascii="Times New Roman" w:hAnsi="Times New Roman"/>
          <w:sz w:val="28"/>
          <w:szCs w:val="28"/>
        </w:rPr>
        <w:t>o</w:t>
      </w:r>
      <w:r w:rsidRPr="00862128">
        <w:rPr>
          <w:rFonts w:ascii="Times New Roman" w:hAnsi="Times New Roman"/>
          <w:sz w:val="28"/>
          <w:szCs w:val="28"/>
        </w:rPr>
        <w:t xml:space="preserve"> </w:t>
      </w:r>
      <w:r w:rsidRPr="00862128">
        <w:rPr>
          <w:rFonts w:ascii="Times New Roman" w:hAnsi="Times New Roman"/>
          <w:sz w:val="28"/>
          <w:szCs w:val="28"/>
        </w:rPr>
        <w:t xml:space="preserve">generales </w:t>
      </w:r>
      <w:r w:rsidRPr="00862128">
        <w:rPr>
          <w:rFonts w:ascii="Times New Roman" w:hAnsi="Times New Roman"/>
          <w:sz w:val="28"/>
          <w:szCs w:val="28"/>
        </w:rPr>
        <w:t xml:space="preserve"> que no se relacionan concreta y directamente con la</w:t>
      </w:r>
      <w:r w:rsidRPr="00862128">
        <w:rPr>
          <w:rFonts w:ascii="Times New Roman" w:hAnsi="Times New Roman"/>
          <w:sz w:val="28"/>
          <w:szCs w:val="28"/>
        </w:rPr>
        <w:t xml:space="preserve"> norma demandada.</w:t>
      </w:r>
    </w:p>
    <w:p w:rsidR="00F6514E" w:rsidRPr="00862128" w:rsidRDefault="00862128" w:rsidP="003664DF">
      <w:pPr>
        <w:pStyle w:val="Prrafodelista"/>
        <w:tabs>
          <w:tab w:val="left" w:pos="567"/>
        </w:tabs>
        <w:ind w:left="0"/>
        <w:jc w:val="both"/>
        <w:rPr>
          <w:rFonts w:ascii="Times New Roman" w:hAnsi="Times New Roman"/>
          <w:sz w:val="28"/>
          <w:szCs w:val="28"/>
        </w:rPr>
      </w:pPr>
    </w:p>
    <w:p w:rsidR="00D43089" w:rsidRPr="00862128" w:rsidRDefault="00862128" w:rsidP="00D4308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No </w:t>
      </w:r>
      <w:r w:rsidRPr="00862128">
        <w:rPr>
          <w:rFonts w:ascii="Times New Roman" w:hAnsi="Times New Roman"/>
          <w:sz w:val="28"/>
          <w:szCs w:val="28"/>
        </w:rPr>
        <w:t>se acredit</w:t>
      </w:r>
      <w:r w:rsidRPr="00862128">
        <w:rPr>
          <w:rFonts w:ascii="Times New Roman" w:hAnsi="Times New Roman"/>
          <w:sz w:val="28"/>
          <w:szCs w:val="28"/>
        </w:rPr>
        <w:t>ó</w:t>
      </w:r>
      <w:r w:rsidRPr="00862128">
        <w:rPr>
          <w:rFonts w:ascii="Times New Roman" w:hAnsi="Times New Roman"/>
          <w:sz w:val="28"/>
          <w:szCs w:val="28"/>
        </w:rPr>
        <w:t xml:space="preserve"> el requisito de especificidad</w:t>
      </w:r>
      <w:r w:rsidRPr="00862128">
        <w:rPr>
          <w:rFonts w:ascii="Times New Roman" w:hAnsi="Times New Roman"/>
          <w:sz w:val="28"/>
          <w:szCs w:val="28"/>
        </w:rPr>
        <w:t xml:space="preserve"> porque </w:t>
      </w:r>
      <w:r w:rsidRPr="00862128">
        <w:rPr>
          <w:rFonts w:ascii="Times New Roman" w:hAnsi="Times New Roman"/>
          <w:sz w:val="28"/>
          <w:szCs w:val="28"/>
        </w:rPr>
        <w:t>el actor no plante</w:t>
      </w:r>
      <w:r w:rsidRPr="00862128">
        <w:rPr>
          <w:rFonts w:ascii="Times New Roman" w:hAnsi="Times New Roman"/>
          <w:sz w:val="28"/>
          <w:szCs w:val="28"/>
        </w:rPr>
        <w:t>ó</w:t>
      </w:r>
      <w:r w:rsidRPr="00862128">
        <w:rPr>
          <w:rFonts w:ascii="Times New Roman" w:hAnsi="Times New Roman"/>
          <w:sz w:val="28"/>
          <w:szCs w:val="28"/>
        </w:rPr>
        <w:t xml:space="preserve"> un argumento de naturaleza constitucional que confronte la disposición demandada con la Constitución, sino que fundamenta su acción en interpretaciones personales </w:t>
      </w:r>
      <w:r w:rsidRPr="00862128">
        <w:rPr>
          <w:rFonts w:ascii="Times New Roman" w:hAnsi="Times New Roman"/>
          <w:sz w:val="28"/>
          <w:szCs w:val="28"/>
        </w:rPr>
        <w:t xml:space="preserve">del artículo 68 de </w:t>
      </w:r>
      <w:r w:rsidRPr="00862128">
        <w:rPr>
          <w:rFonts w:ascii="Times New Roman" w:hAnsi="Times New Roman"/>
          <w:sz w:val="28"/>
          <w:szCs w:val="28"/>
        </w:rPr>
        <w:t xml:space="preserve">la Ley 45 de 1990 </w:t>
      </w:r>
      <w:r w:rsidRPr="00862128">
        <w:rPr>
          <w:rFonts w:ascii="Times New Roman" w:hAnsi="Times New Roman"/>
          <w:sz w:val="28"/>
          <w:szCs w:val="28"/>
        </w:rPr>
        <w:t xml:space="preserve">que no configuran un verdadero juicio de contradicción constitucional. </w:t>
      </w:r>
      <w:r w:rsidRPr="00862128">
        <w:rPr>
          <w:rFonts w:ascii="Times New Roman" w:hAnsi="Times New Roman"/>
          <w:sz w:val="28"/>
          <w:szCs w:val="28"/>
        </w:rPr>
        <w:t xml:space="preserve">No </w:t>
      </w:r>
      <w:r w:rsidRPr="00862128">
        <w:rPr>
          <w:rFonts w:ascii="Times New Roman" w:hAnsi="Times New Roman"/>
          <w:sz w:val="28"/>
          <w:szCs w:val="28"/>
        </w:rPr>
        <w:t xml:space="preserve">se </w:t>
      </w:r>
      <w:r w:rsidRPr="00862128">
        <w:rPr>
          <w:rFonts w:ascii="Times New Roman" w:hAnsi="Times New Roman"/>
          <w:sz w:val="28"/>
          <w:szCs w:val="28"/>
        </w:rPr>
        <w:t>estableció que existe una oposición objetiva</w:t>
      </w:r>
      <w:r w:rsidRPr="00862128">
        <w:rPr>
          <w:rFonts w:ascii="Times New Roman" w:hAnsi="Times New Roman"/>
          <w:sz w:val="28"/>
          <w:szCs w:val="28"/>
        </w:rPr>
        <w:t>, directa</w:t>
      </w:r>
      <w:r w:rsidRPr="00862128">
        <w:rPr>
          <w:rFonts w:ascii="Times New Roman" w:hAnsi="Times New Roman"/>
          <w:sz w:val="28"/>
          <w:szCs w:val="28"/>
        </w:rPr>
        <w:t xml:space="preserve"> y verificable entre la expresión </w:t>
      </w:r>
      <w:r w:rsidRPr="00862128">
        <w:rPr>
          <w:rFonts w:ascii="Times New Roman" w:hAnsi="Times New Roman"/>
          <w:sz w:val="28"/>
          <w:szCs w:val="28"/>
        </w:rPr>
        <w:t>demandada (</w:t>
      </w:r>
      <w:r w:rsidRPr="00862128">
        <w:rPr>
          <w:rFonts w:ascii="Times New Roman" w:hAnsi="Times New Roman"/>
          <w:sz w:val="28"/>
          <w:szCs w:val="28"/>
        </w:rPr>
        <w:t>“firma electrónica</w:t>
      </w:r>
      <w:r w:rsidRPr="00862128">
        <w:rPr>
          <w:rFonts w:ascii="Times New Roman" w:hAnsi="Times New Roman"/>
          <w:sz w:val="28"/>
          <w:szCs w:val="28"/>
        </w:rPr>
        <w:t>”</w:t>
      </w:r>
      <w:r w:rsidRPr="00862128">
        <w:rPr>
          <w:rFonts w:ascii="Times New Roman" w:hAnsi="Times New Roman"/>
          <w:sz w:val="28"/>
          <w:szCs w:val="28"/>
        </w:rPr>
        <w:t xml:space="preserve"> del parágrafo 3 del artículo 45 de la Ley 1480 de 2011</w:t>
      </w:r>
      <w:r w:rsidRPr="00862128">
        <w:rPr>
          <w:rFonts w:ascii="Times New Roman" w:hAnsi="Times New Roman"/>
          <w:sz w:val="28"/>
          <w:szCs w:val="28"/>
        </w:rPr>
        <w:t>)</w:t>
      </w:r>
      <w:r w:rsidRPr="00862128">
        <w:rPr>
          <w:rFonts w:ascii="Times New Roman" w:hAnsi="Times New Roman"/>
          <w:sz w:val="28"/>
          <w:szCs w:val="28"/>
        </w:rPr>
        <w:t xml:space="preserve"> y el texto de la Constitución Política</w:t>
      </w:r>
      <w:r w:rsidRPr="00862128">
        <w:rPr>
          <w:rFonts w:ascii="Times New Roman" w:hAnsi="Times New Roman"/>
          <w:sz w:val="28"/>
          <w:szCs w:val="28"/>
        </w:rPr>
        <w:t xml:space="preserve">. </w:t>
      </w:r>
      <w:r w:rsidRPr="00862128">
        <w:rPr>
          <w:rFonts w:ascii="Times New Roman" w:hAnsi="Times New Roman"/>
          <w:sz w:val="28"/>
          <w:szCs w:val="28"/>
        </w:rPr>
        <w:t xml:space="preserve">Por lo tanto, no se estableció </w:t>
      </w:r>
      <w:r w:rsidRPr="00862128">
        <w:rPr>
          <w:rFonts w:ascii="Times New Roman" w:hAnsi="Times New Roman"/>
          <w:sz w:val="28"/>
          <w:szCs w:val="28"/>
        </w:rPr>
        <w:t>una verdadera controversia de naturaleza constitucional entre la norma demandada y la Constituci</w:t>
      </w:r>
      <w:r w:rsidRPr="00862128">
        <w:rPr>
          <w:rFonts w:ascii="Times New Roman" w:hAnsi="Times New Roman"/>
          <w:sz w:val="28"/>
          <w:szCs w:val="28"/>
        </w:rPr>
        <w:t>ón</w:t>
      </w:r>
      <w:r w:rsidRPr="00862128">
        <w:rPr>
          <w:rFonts w:ascii="Times New Roman" w:hAnsi="Times New Roman"/>
          <w:sz w:val="28"/>
          <w:szCs w:val="28"/>
        </w:rPr>
        <w:t>.</w:t>
      </w:r>
    </w:p>
    <w:p w:rsidR="00D43089" w:rsidRPr="00862128" w:rsidRDefault="00862128" w:rsidP="00D43089">
      <w:pPr>
        <w:tabs>
          <w:tab w:val="left" w:pos="567"/>
        </w:tabs>
        <w:jc w:val="both"/>
        <w:rPr>
          <w:rFonts w:ascii="Times New Roman" w:hAnsi="Times New Roman"/>
          <w:i/>
          <w:iCs/>
          <w:sz w:val="28"/>
          <w:szCs w:val="28"/>
        </w:rPr>
      </w:pPr>
    </w:p>
    <w:p w:rsidR="00D43089" w:rsidRPr="00862128" w:rsidRDefault="00862128" w:rsidP="00D43089">
      <w:pPr>
        <w:pStyle w:val="Prrafodelista"/>
        <w:tabs>
          <w:tab w:val="left" w:pos="567"/>
        </w:tabs>
        <w:ind w:left="0"/>
        <w:jc w:val="both"/>
        <w:rPr>
          <w:rFonts w:ascii="Times New Roman" w:hAnsi="Times New Roman"/>
          <w:b/>
          <w:bCs/>
          <w:i/>
          <w:iCs/>
          <w:color w:val="000000"/>
          <w:sz w:val="28"/>
          <w:szCs w:val="28"/>
        </w:rPr>
      </w:pPr>
      <w:r w:rsidRPr="00862128">
        <w:rPr>
          <w:rFonts w:ascii="Times New Roman" w:hAnsi="Times New Roman"/>
          <w:b/>
          <w:bCs/>
          <w:i/>
          <w:iCs/>
          <w:color w:val="000000"/>
          <w:sz w:val="28"/>
          <w:szCs w:val="28"/>
        </w:rPr>
        <w:t>Pertinencia</w:t>
      </w:r>
    </w:p>
    <w:p w:rsidR="00D43089" w:rsidRPr="00862128" w:rsidRDefault="00862128" w:rsidP="003664DF">
      <w:pPr>
        <w:tabs>
          <w:tab w:val="left" w:pos="567"/>
        </w:tabs>
        <w:jc w:val="both"/>
        <w:rPr>
          <w:rFonts w:ascii="Times New Roman" w:hAnsi="Times New Roman"/>
          <w:sz w:val="28"/>
          <w:szCs w:val="28"/>
        </w:rPr>
      </w:pPr>
    </w:p>
    <w:p w:rsidR="00AF2A2E" w:rsidRPr="00862128" w:rsidRDefault="00862128" w:rsidP="0031046A">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La demanda carece de </w:t>
      </w:r>
      <w:r w:rsidRPr="00862128">
        <w:rPr>
          <w:rFonts w:ascii="Times New Roman" w:hAnsi="Times New Roman"/>
          <w:sz w:val="28"/>
          <w:szCs w:val="28"/>
        </w:rPr>
        <w:t>argumentos de naturaleza estrictamente constitucional</w:t>
      </w:r>
      <w:r w:rsidRPr="00862128">
        <w:rPr>
          <w:rFonts w:ascii="Times New Roman" w:hAnsi="Times New Roman"/>
          <w:sz w:val="28"/>
          <w:szCs w:val="28"/>
        </w:rPr>
        <w:t xml:space="preserve"> </w:t>
      </w:r>
      <w:r w:rsidRPr="00862128">
        <w:rPr>
          <w:rFonts w:ascii="Times New Roman" w:hAnsi="Times New Roman"/>
          <w:sz w:val="28"/>
          <w:szCs w:val="28"/>
        </w:rPr>
        <w:t xml:space="preserve">respecto de la norma demandada y se basa en </w:t>
      </w:r>
      <w:r w:rsidRPr="00862128">
        <w:rPr>
          <w:rFonts w:ascii="Times New Roman" w:hAnsi="Times New Roman"/>
          <w:sz w:val="28"/>
          <w:szCs w:val="28"/>
        </w:rPr>
        <w:t>razones de orden legal, personal</w:t>
      </w:r>
      <w:r w:rsidRPr="00862128">
        <w:rPr>
          <w:rFonts w:ascii="Times New Roman" w:hAnsi="Times New Roman"/>
          <w:sz w:val="28"/>
          <w:szCs w:val="28"/>
        </w:rPr>
        <w:t xml:space="preserve"> y</w:t>
      </w:r>
      <w:r w:rsidRPr="00862128">
        <w:rPr>
          <w:rFonts w:ascii="Times New Roman" w:hAnsi="Times New Roman"/>
          <w:sz w:val="28"/>
          <w:szCs w:val="28"/>
        </w:rPr>
        <w:t xml:space="preserve"> doctrinal.</w:t>
      </w:r>
      <w:r w:rsidRPr="00862128">
        <w:rPr>
          <w:rFonts w:ascii="Times New Roman" w:hAnsi="Times New Roman"/>
          <w:sz w:val="28"/>
          <w:szCs w:val="28"/>
        </w:rPr>
        <w:t xml:space="preserve"> </w:t>
      </w:r>
      <w:r w:rsidRPr="00862128">
        <w:rPr>
          <w:rFonts w:ascii="Times New Roman" w:hAnsi="Times New Roman"/>
          <w:sz w:val="28"/>
          <w:szCs w:val="28"/>
        </w:rPr>
        <w:t xml:space="preserve">En efecto, </w:t>
      </w:r>
      <w:r w:rsidRPr="00862128">
        <w:rPr>
          <w:rFonts w:ascii="Times New Roman" w:hAnsi="Times New Roman"/>
          <w:bCs/>
          <w:sz w:val="28"/>
          <w:szCs w:val="28"/>
          <w:lang w:val="es-ES"/>
        </w:rPr>
        <w:t>l</w:t>
      </w:r>
      <w:r w:rsidRPr="00862128">
        <w:rPr>
          <w:rFonts w:ascii="Times New Roman" w:hAnsi="Times New Roman"/>
          <w:bCs/>
          <w:sz w:val="28"/>
          <w:szCs w:val="28"/>
          <w:lang w:val="es-ES"/>
        </w:rPr>
        <w:t xml:space="preserve">os </w:t>
      </w:r>
      <w:r w:rsidRPr="00862128">
        <w:rPr>
          <w:rFonts w:ascii="Times New Roman" w:hAnsi="Times New Roman"/>
          <w:bCs/>
          <w:sz w:val="28"/>
          <w:szCs w:val="28"/>
          <w:lang w:val="es-ES"/>
        </w:rPr>
        <w:t>alegatos</w:t>
      </w:r>
      <w:r w:rsidRPr="00862128">
        <w:rPr>
          <w:rFonts w:ascii="Times New Roman" w:hAnsi="Times New Roman"/>
          <w:bCs/>
          <w:sz w:val="28"/>
          <w:szCs w:val="28"/>
          <w:lang w:val="es-ES"/>
        </w:rPr>
        <w:t xml:space="preserve"> del demandante no cumplen </w:t>
      </w:r>
      <w:r w:rsidRPr="00862128">
        <w:rPr>
          <w:rFonts w:ascii="Times New Roman" w:hAnsi="Times New Roman"/>
          <w:bCs/>
          <w:sz w:val="28"/>
          <w:szCs w:val="28"/>
          <w:lang w:val="es-ES"/>
        </w:rPr>
        <w:t xml:space="preserve">con el presupuesto de pertinencia toda vez que no se hace un cotejo directo de la disposición demandada con la Constitución Política, sino </w:t>
      </w:r>
      <w:r w:rsidRPr="00862128">
        <w:rPr>
          <w:rFonts w:ascii="Times New Roman" w:hAnsi="Times New Roman"/>
          <w:bCs/>
          <w:sz w:val="28"/>
          <w:szCs w:val="28"/>
          <w:lang w:val="es-ES"/>
        </w:rPr>
        <w:t xml:space="preserve">que se recurre a </w:t>
      </w:r>
      <w:r w:rsidRPr="00862128">
        <w:rPr>
          <w:rFonts w:ascii="Times New Roman" w:hAnsi="Times New Roman"/>
          <w:bCs/>
          <w:sz w:val="28"/>
          <w:szCs w:val="28"/>
          <w:lang w:val="es-ES"/>
        </w:rPr>
        <w:t>una comparación con otras normas de rango legal (</w:t>
      </w:r>
      <w:r w:rsidRPr="00862128">
        <w:rPr>
          <w:rFonts w:ascii="Times New Roman" w:hAnsi="Times New Roman"/>
          <w:bCs/>
          <w:sz w:val="28"/>
          <w:szCs w:val="28"/>
          <w:lang w:val="es-ES"/>
        </w:rPr>
        <w:t>artículo 68 de la L</w:t>
      </w:r>
      <w:r w:rsidRPr="00862128">
        <w:rPr>
          <w:rFonts w:ascii="Times New Roman" w:hAnsi="Times New Roman"/>
          <w:bCs/>
          <w:sz w:val="28"/>
          <w:szCs w:val="28"/>
          <w:lang w:val="es-ES"/>
        </w:rPr>
        <w:t xml:space="preserve">ey 45 de 1990) y reglamentarias </w:t>
      </w:r>
      <w:r w:rsidRPr="00862128">
        <w:rPr>
          <w:rFonts w:ascii="Times New Roman" w:hAnsi="Times New Roman"/>
          <w:bCs/>
          <w:sz w:val="28"/>
          <w:szCs w:val="28"/>
          <w:lang w:val="es-ES"/>
        </w:rPr>
        <w:t xml:space="preserve">(Circular Básica Jurídica de la Superintendencia Financiera de Colombia). </w:t>
      </w:r>
    </w:p>
    <w:p w:rsidR="00AA1D9F" w:rsidRPr="00862128" w:rsidRDefault="00862128" w:rsidP="003664DF">
      <w:pPr>
        <w:pStyle w:val="Prrafodelista"/>
        <w:tabs>
          <w:tab w:val="left" w:pos="567"/>
        </w:tabs>
        <w:ind w:left="0"/>
        <w:jc w:val="both"/>
        <w:rPr>
          <w:rFonts w:ascii="Times New Roman" w:hAnsi="Times New Roman"/>
          <w:bCs/>
          <w:sz w:val="28"/>
          <w:szCs w:val="28"/>
          <w:lang w:val="es-ES"/>
        </w:rPr>
      </w:pPr>
    </w:p>
    <w:p w:rsidR="001747D3" w:rsidRPr="00862128" w:rsidRDefault="00862128" w:rsidP="003664DF">
      <w:pPr>
        <w:pStyle w:val="Prrafodelista"/>
        <w:numPr>
          <w:ilvl w:val="0"/>
          <w:numId w:val="4"/>
        </w:numPr>
        <w:tabs>
          <w:tab w:val="left" w:pos="567"/>
        </w:tabs>
        <w:ind w:left="0" w:firstLine="0"/>
        <w:jc w:val="both"/>
        <w:rPr>
          <w:rFonts w:ascii="Times New Roman" w:hAnsi="Times New Roman"/>
          <w:bCs/>
          <w:sz w:val="28"/>
          <w:szCs w:val="28"/>
        </w:rPr>
      </w:pPr>
      <w:r w:rsidRPr="00862128">
        <w:rPr>
          <w:rFonts w:ascii="Times New Roman" w:hAnsi="Times New Roman"/>
          <w:bCs/>
          <w:sz w:val="28"/>
          <w:szCs w:val="28"/>
          <w:lang w:val="es-ES"/>
        </w:rPr>
        <w:t>La demanda incorpora apreciaciones personales y situaciones hipotéticas en las que la norma presuntamente será aplicada, que no necesariamente corresponden con la realidad. Por eje</w:t>
      </w:r>
      <w:r w:rsidRPr="00862128">
        <w:rPr>
          <w:rFonts w:ascii="Times New Roman" w:hAnsi="Times New Roman"/>
          <w:bCs/>
          <w:sz w:val="28"/>
          <w:szCs w:val="28"/>
          <w:lang w:val="es-ES"/>
        </w:rPr>
        <w:t>mplo, sostiene que</w:t>
      </w:r>
      <w:r w:rsidRPr="00862128">
        <w:rPr>
          <w:rFonts w:ascii="Times New Roman" w:hAnsi="Times New Roman"/>
          <w:bCs/>
          <w:sz w:val="28"/>
          <w:szCs w:val="28"/>
          <w:lang w:val="es-ES"/>
        </w:rPr>
        <w:t>:</w:t>
      </w:r>
      <w:r w:rsidRPr="00862128">
        <w:rPr>
          <w:rFonts w:ascii="Times New Roman" w:hAnsi="Times New Roman"/>
          <w:bCs/>
          <w:sz w:val="28"/>
          <w:szCs w:val="28"/>
          <w:lang w:val="es-ES"/>
        </w:rPr>
        <w:t xml:space="preserve"> </w:t>
      </w:r>
    </w:p>
    <w:p w:rsidR="001E7B0A" w:rsidRPr="00862128" w:rsidRDefault="00862128" w:rsidP="001E7B0A">
      <w:pPr>
        <w:pStyle w:val="Prrafodelista"/>
        <w:tabs>
          <w:tab w:val="left" w:pos="567"/>
        </w:tabs>
        <w:ind w:left="0"/>
        <w:jc w:val="both"/>
        <w:rPr>
          <w:rFonts w:ascii="Times New Roman" w:hAnsi="Times New Roman"/>
          <w:bCs/>
          <w:sz w:val="28"/>
          <w:szCs w:val="28"/>
        </w:rPr>
      </w:pPr>
    </w:p>
    <w:p w:rsidR="001E7B0A" w:rsidRPr="00862128" w:rsidRDefault="00862128" w:rsidP="001E7B0A">
      <w:pPr>
        <w:pStyle w:val="Prrafodelista"/>
        <w:tabs>
          <w:tab w:val="left" w:pos="567"/>
        </w:tabs>
        <w:ind w:left="567"/>
        <w:jc w:val="both"/>
        <w:rPr>
          <w:rFonts w:ascii="Times New Roman" w:hAnsi="Times New Roman"/>
          <w:bCs/>
          <w:sz w:val="28"/>
          <w:szCs w:val="28"/>
        </w:rPr>
      </w:pPr>
      <w:r w:rsidRPr="00862128">
        <w:rPr>
          <w:rFonts w:ascii="Times New Roman" w:hAnsi="Times New Roman"/>
          <w:bCs/>
          <w:sz w:val="28"/>
          <w:szCs w:val="28"/>
        </w:rPr>
        <w:tab/>
      </w:r>
      <w:r w:rsidRPr="00862128">
        <w:rPr>
          <w:rFonts w:ascii="Times New Roman" w:hAnsi="Times New Roman"/>
          <w:bCs/>
          <w:sz w:val="28"/>
          <w:szCs w:val="28"/>
        </w:rPr>
        <w:t xml:space="preserve">“Cuando un consumidor compara ofertas crediticias, naturalmente se enfoca en la tasa de </w:t>
      </w:r>
      <w:r w:rsidRPr="00862128">
        <w:rPr>
          <w:rFonts w:ascii="Times New Roman" w:hAnsi="Times New Roman"/>
          <w:bCs/>
          <w:sz w:val="28"/>
          <w:szCs w:val="28"/>
        </w:rPr>
        <w:t>interés</w:t>
      </w:r>
      <w:r w:rsidRPr="00862128">
        <w:rPr>
          <w:rFonts w:ascii="Times New Roman" w:hAnsi="Times New Roman"/>
          <w:bCs/>
          <w:sz w:val="28"/>
          <w:szCs w:val="28"/>
        </w:rPr>
        <w:t xml:space="preserve"> como el elemento determinante del costo del </w:t>
      </w:r>
      <w:r w:rsidRPr="00862128">
        <w:rPr>
          <w:rFonts w:ascii="Times New Roman" w:hAnsi="Times New Roman"/>
          <w:bCs/>
          <w:sz w:val="28"/>
          <w:szCs w:val="28"/>
        </w:rPr>
        <w:t>crédito</w:t>
      </w:r>
      <w:r w:rsidRPr="00862128">
        <w:rPr>
          <w:rFonts w:ascii="Times New Roman" w:hAnsi="Times New Roman"/>
          <w:bCs/>
          <w:sz w:val="28"/>
          <w:szCs w:val="28"/>
        </w:rPr>
        <w:t>. Sin embargo, con la norma demandada, una entidad no vigilada puede anunciar una tasa</w:t>
      </w:r>
      <w:r w:rsidRPr="00862128">
        <w:rPr>
          <w:rFonts w:ascii="Times New Roman" w:hAnsi="Times New Roman"/>
          <w:bCs/>
          <w:sz w:val="28"/>
          <w:szCs w:val="28"/>
        </w:rPr>
        <w:t xml:space="preserve"> inferior (excluyendo firma electr</w:t>
      </w:r>
      <w:r w:rsidRPr="00862128">
        <w:rPr>
          <w:rFonts w:ascii="Times New Roman" w:hAnsi="Times New Roman"/>
          <w:bCs/>
          <w:sz w:val="28"/>
          <w:szCs w:val="28"/>
        </w:rPr>
        <w:t>ó</w:t>
      </w:r>
      <w:r w:rsidRPr="00862128">
        <w:rPr>
          <w:rFonts w:ascii="Times New Roman" w:hAnsi="Times New Roman"/>
          <w:bCs/>
          <w:sz w:val="28"/>
          <w:szCs w:val="28"/>
        </w:rPr>
        <w:t xml:space="preserve">nica) mientras que una entidad vigilada debe necesariamente computar todos los costos </w:t>
      </w:r>
      <w:r w:rsidRPr="00862128">
        <w:rPr>
          <w:rFonts w:ascii="Times New Roman" w:hAnsi="Times New Roman"/>
          <w:bCs/>
          <w:sz w:val="28"/>
          <w:szCs w:val="28"/>
        </w:rPr>
        <w:t>tecnológicos</w:t>
      </w:r>
      <w:r w:rsidRPr="00862128">
        <w:rPr>
          <w:rFonts w:ascii="Times New Roman" w:hAnsi="Times New Roman"/>
          <w:bCs/>
          <w:sz w:val="28"/>
          <w:szCs w:val="28"/>
        </w:rPr>
        <w:t xml:space="preserve">. El consumidor, siguiendo la </w:t>
      </w:r>
      <w:r w:rsidRPr="00862128">
        <w:rPr>
          <w:rFonts w:ascii="Times New Roman" w:hAnsi="Times New Roman"/>
          <w:bCs/>
          <w:sz w:val="28"/>
          <w:szCs w:val="28"/>
        </w:rPr>
        <w:t>lógica</w:t>
      </w:r>
      <w:r w:rsidRPr="00862128">
        <w:rPr>
          <w:rFonts w:ascii="Times New Roman" w:hAnsi="Times New Roman"/>
          <w:bCs/>
          <w:sz w:val="28"/>
          <w:szCs w:val="28"/>
        </w:rPr>
        <w:t xml:space="preserve"> natural de comparaci</w:t>
      </w:r>
      <w:r w:rsidRPr="00862128">
        <w:rPr>
          <w:rFonts w:ascii="Times New Roman" w:hAnsi="Times New Roman"/>
          <w:bCs/>
          <w:sz w:val="28"/>
          <w:szCs w:val="28"/>
        </w:rPr>
        <w:t>ó</w:t>
      </w:r>
      <w:r w:rsidRPr="00862128">
        <w:rPr>
          <w:rFonts w:ascii="Times New Roman" w:hAnsi="Times New Roman"/>
          <w:bCs/>
          <w:sz w:val="28"/>
          <w:szCs w:val="28"/>
        </w:rPr>
        <w:t xml:space="preserve">n, optaría por la primera </w:t>
      </w:r>
      <w:r w:rsidRPr="00862128">
        <w:rPr>
          <w:rFonts w:ascii="Times New Roman" w:hAnsi="Times New Roman"/>
          <w:bCs/>
          <w:sz w:val="28"/>
          <w:szCs w:val="28"/>
        </w:rPr>
        <w:t>opción</w:t>
      </w:r>
      <w:r w:rsidRPr="00862128">
        <w:rPr>
          <w:rFonts w:ascii="Times New Roman" w:hAnsi="Times New Roman"/>
          <w:bCs/>
          <w:sz w:val="28"/>
          <w:szCs w:val="28"/>
        </w:rPr>
        <w:t xml:space="preserve"> sin percatarse de que el costo t</w:t>
      </w:r>
      <w:r w:rsidRPr="00862128">
        <w:rPr>
          <w:rFonts w:ascii="Times New Roman" w:hAnsi="Times New Roman"/>
          <w:bCs/>
          <w:sz w:val="28"/>
          <w:szCs w:val="28"/>
        </w:rPr>
        <w:t xml:space="preserve">otal, una vez sumada la firma </w:t>
      </w:r>
      <w:r w:rsidRPr="00862128">
        <w:rPr>
          <w:rFonts w:ascii="Times New Roman" w:hAnsi="Times New Roman"/>
          <w:bCs/>
          <w:sz w:val="28"/>
          <w:szCs w:val="28"/>
        </w:rPr>
        <w:t>electrónica</w:t>
      </w:r>
      <w:r w:rsidRPr="00862128">
        <w:rPr>
          <w:rFonts w:ascii="Times New Roman" w:hAnsi="Times New Roman"/>
          <w:bCs/>
          <w:sz w:val="28"/>
          <w:szCs w:val="28"/>
        </w:rPr>
        <w:t xml:space="preserve"> cobrada por separado, podría ser igual o superior” </w:t>
      </w:r>
      <w:r w:rsidRPr="00862128">
        <w:rPr>
          <w:rFonts w:ascii="Times New Roman" w:hAnsi="Times New Roman"/>
          <w:bCs/>
          <w:sz w:val="28"/>
          <w:szCs w:val="28"/>
          <w:vertAlign w:val="superscript"/>
        </w:rPr>
        <w:footnoteReference w:id="97"/>
      </w:r>
      <w:r w:rsidRPr="00862128">
        <w:rPr>
          <w:rFonts w:ascii="Times New Roman" w:hAnsi="Times New Roman"/>
          <w:bCs/>
          <w:sz w:val="28"/>
          <w:szCs w:val="28"/>
        </w:rPr>
        <w:t>.</w:t>
      </w:r>
      <w:r w:rsidRPr="00862128">
        <w:rPr>
          <w:rFonts w:ascii="Times New Roman" w:hAnsi="Times New Roman"/>
          <w:bCs/>
          <w:sz w:val="28"/>
          <w:szCs w:val="28"/>
        </w:rPr>
        <w:t xml:space="preserve"> </w:t>
      </w:r>
    </w:p>
    <w:p w:rsidR="001E7B0A" w:rsidRPr="00862128" w:rsidRDefault="00862128" w:rsidP="003664DF">
      <w:pPr>
        <w:pStyle w:val="Prrafodelista"/>
        <w:tabs>
          <w:tab w:val="left" w:pos="567"/>
        </w:tabs>
        <w:ind w:left="567"/>
        <w:jc w:val="both"/>
        <w:rPr>
          <w:rFonts w:ascii="Times New Roman" w:hAnsi="Times New Roman"/>
          <w:bCs/>
          <w:sz w:val="28"/>
          <w:szCs w:val="28"/>
          <w:lang w:val="es-ES"/>
        </w:rPr>
      </w:pPr>
    </w:p>
    <w:p w:rsidR="00146373" w:rsidRPr="00862128" w:rsidRDefault="00862128" w:rsidP="00146373">
      <w:pPr>
        <w:pStyle w:val="Prrafodelista"/>
        <w:numPr>
          <w:ilvl w:val="0"/>
          <w:numId w:val="4"/>
        </w:numPr>
        <w:tabs>
          <w:tab w:val="left" w:pos="567"/>
        </w:tabs>
        <w:ind w:left="0" w:firstLine="0"/>
        <w:jc w:val="both"/>
        <w:rPr>
          <w:rFonts w:ascii="Times New Roman" w:hAnsi="Times New Roman"/>
          <w:bCs/>
          <w:sz w:val="28"/>
          <w:szCs w:val="28"/>
          <w:lang w:val="es-ES"/>
        </w:rPr>
      </w:pPr>
      <w:r w:rsidRPr="00862128">
        <w:rPr>
          <w:rFonts w:ascii="Times New Roman" w:hAnsi="Times New Roman"/>
          <w:bCs/>
          <w:sz w:val="28"/>
          <w:szCs w:val="28"/>
        </w:rPr>
        <w:t xml:space="preserve">Este argumento es especulativo al basarse en una serie de suposiciones sobre el comportamiento del consumidor y las estrategias comerciales. Afirma que los consumidores se centran "naturalmente" en la tasa de interés y que una entidad "puede anunciar" una </w:t>
      </w:r>
      <w:r w:rsidRPr="00862128">
        <w:rPr>
          <w:rFonts w:ascii="Times New Roman" w:hAnsi="Times New Roman"/>
          <w:bCs/>
          <w:sz w:val="28"/>
          <w:szCs w:val="28"/>
        </w:rPr>
        <w:t xml:space="preserve">tasa inferior, llevando al consumidor a elegirla "sin percatarse". Estas afirmaciones no se sustentan en pruebas concretas, sino en una inferencia sobre cómo podrían actuar los agentes del mercado y los consumidores, lo que no configura </w:t>
      </w:r>
      <w:r w:rsidRPr="00862128">
        <w:rPr>
          <w:rFonts w:ascii="Times New Roman" w:hAnsi="Times New Roman"/>
          <w:bCs/>
          <w:sz w:val="28"/>
          <w:szCs w:val="28"/>
        </w:rPr>
        <w:t xml:space="preserve">una </w:t>
      </w:r>
      <w:r w:rsidRPr="00862128">
        <w:rPr>
          <w:rFonts w:ascii="Times New Roman" w:hAnsi="Times New Roman"/>
          <w:bCs/>
          <w:sz w:val="28"/>
          <w:szCs w:val="28"/>
        </w:rPr>
        <w:t>situación objet</w:t>
      </w:r>
      <w:r w:rsidRPr="00862128">
        <w:rPr>
          <w:rFonts w:ascii="Times New Roman" w:hAnsi="Times New Roman"/>
          <w:bCs/>
          <w:sz w:val="28"/>
          <w:szCs w:val="28"/>
        </w:rPr>
        <w:t xml:space="preserve">ivamente </w:t>
      </w:r>
      <w:r w:rsidRPr="00862128">
        <w:rPr>
          <w:rFonts w:ascii="Times New Roman" w:hAnsi="Times New Roman"/>
          <w:bCs/>
          <w:sz w:val="28"/>
          <w:szCs w:val="28"/>
        </w:rPr>
        <w:t>cierta en todos los casos</w:t>
      </w:r>
      <w:r w:rsidRPr="00862128">
        <w:rPr>
          <w:rFonts w:ascii="Times New Roman" w:hAnsi="Times New Roman"/>
          <w:bCs/>
          <w:sz w:val="28"/>
          <w:szCs w:val="28"/>
        </w:rPr>
        <w:t>, sino una posibilidad basada en conjeturas.</w:t>
      </w:r>
      <w:r w:rsidRPr="00862128">
        <w:rPr>
          <w:rFonts w:ascii="Times New Roman" w:hAnsi="Times New Roman"/>
          <w:bCs/>
          <w:sz w:val="28"/>
          <w:szCs w:val="28"/>
        </w:rPr>
        <w:t xml:space="preserve"> </w:t>
      </w:r>
      <w:r w:rsidRPr="00862128">
        <w:rPr>
          <w:rFonts w:ascii="Times New Roman" w:hAnsi="Times New Roman"/>
          <w:bCs/>
          <w:sz w:val="28"/>
          <w:szCs w:val="28"/>
          <w:lang w:val="es-ES"/>
        </w:rPr>
        <w:t>Est</w:t>
      </w:r>
      <w:r w:rsidRPr="00862128">
        <w:rPr>
          <w:rFonts w:ascii="Times New Roman" w:hAnsi="Times New Roman"/>
          <w:bCs/>
          <w:sz w:val="28"/>
          <w:szCs w:val="28"/>
          <w:lang w:val="es-ES"/>
        </w:rPr>
        <w:t xml:space="preserve">e argumento </w:t>
      </w:r>
      <w:r w:rsidRPr="00862128">
        <w:rPr>
          <w:rFonts w:ascii="Times New Roman" w:hAnsi="Times New Roman"/>
          <w:bCs/>
          <w:sz w:val="28"/>
          <w:szCs w:val="28"/>
          <w:lang w:val="es-ES"/>
        </w:rPr>
        <w:t>hipotético</w:t>
      </w:r>
      <w:r w:rsidRPr="00862128">
        <w:rPr>
          <w:rFonts w:ascii="Times New Roman" w:hAnsi="Times New Roman"/>
          <w:bCs/>
          <w:sz w:val="28"/>
          <w:szCs w:val="28"/>
          <w:lang w:val="es-ES"/>
        </w:rPr>
        <w:t xml:space="preserve"> que adolece de naturaleza constitucional</w:t>
      </w:r>
      <w:r w:rsidRPr="00862128">
        <w:rPr>
          <w:rFonts w:ascii="Times New Roman" w:hAnsi="Times New Roman"/>
          <w:bCs/>
          <w:sz w:val="28"/>
          <w:szCs w:val="28"/>
          <w:lang w:val="es-ES"/>
        </w:rPr>
        <w:t>.</w:t>
      </w:r>
    </w:p>
    <w:p w:rsidR="00A63276" w:rsidRPr="00862128" w:rsidRDefault="00862128" w:rsidP="003664DF">
      <w:pPr>
        <w:pStyle w:val="Prrafodelista"/>
        <w:tabs>
          <w:tab w:val="left" w:pos="567"/>
        </w:tabs>
        <w:ind w:left="0"/>
        <w:jc w:val="both"/>
        <w:rPr>
          <w:rFonts w:ascii="Times New Roman" w:hAnsi="Times New Roman"/>
          <w:bCs/>
          <w:sz w:val="28"/>
          <w:szCs w:val="28"/>
          <w:lang w:val="es-ES"/>
        </w:rPr>
      </w:pPr>
    </w:p>
    <w:p w:rsidR="004A1C81" w:rsidRPr="00862128" w:rsidRDefault="00862128" w:rsidP="003664DF">
      <w:pPr>
        <w:pStyle w:val="Prrafodelista"/>
        <w:numPr>
          <w:ilvl w:val="0"/>
          <w:numId w:val="4"/>
        </w:numPr>
        <w:tabs>
          <w:tab w:val="left" w:pos="567"/>
        </w:tabs>
        <w:ind w:left="0" w:firstLine="0"/>
        <w:jc w:val="both"/>
        <w:rPr>
          <w:rFonts w:ascii="Times New Roman" w:hAnsi="Times New Roman"/>
          <w:bCs/>
          <w:sz w:val="28"/>
          <w:szCs w:val="28"/>
          <w:lang w:val="es-ES"/>
        </w:rPr>
      </w:pPr>
      <w:r w:rsidRPr="00862128">
        <w:rPr>
          <w:rFonts w:ascii="Times New Roman" w:hAnsi="Times New Roman"/>
          <w:bCs/>
          <w:sz w:val="28"/>
          <w:szCs w:val="28"/>
          <w:lang w:val="es-ES"/>
        </w:rPr>
        <w:t>Adicionalmente, señala el demandante que “</w:t>
      </w:r>
      <w:r w:rsidRPr="00862128">
        <w:rPr>
          <w:rFonts w:ascii="Times New Roman" w:hAnsi="Times New Roman"/>
          <w:bCs/>
          <w:sz w:val="28"/>
          <w:szCs w:val="28"/>
          <w:lang w:val="es-ES"/>
        </w:rPr>
        <w:sym w:font="Symbol" w:char="F05B"/>
      </w:r>
      <w:r w:rsidRPr="00862128">
        <w:rPr>
          <w:rFonts w:ascii="Times New Roman" w:hAnsi="Times New Roman"/>
          <w:bCs/>
          <w:sz w:val="28"/>
          <w:szCs w:val="28"/>
          <w:lang w:val="es-ES"/>
        </w:rPr>
        <w:t>m</w:t>
      </w:r>
      <w:r w:rsidRPr="00862128">
        <w:rPr>
          <w:rFonts w:ascii="Times New Roman" w:hAnsi="Times New Roman"/>
          <w:bCs/>
          <w:sz w:val="28"/>
          <w:szCs w:val="28"/>
          <w:lang w:val="es-ES"/>
        </w:rPr>
        <w:sym w:font="Symbol" w:char="F05D"/>
      </w:r>
      <w:r w:rsidRPr="00862128">
        <w:rPr>
          <w:rFonts w:ascii="Times New Roman" w:hAnsi="Times New Roman"/>
          <w:bCs/>
          <w:sz w:val="28"/>
          <w:szCs w:val="28"/>
        </w:rPr>
        <w:t>ientras</w:t>
      </w:r>
      <w:r w:rsidRPr="00862128">
        <w:rPr>
          <w:rFonts w:ascii="Times New Roman" w:hAnsi="Times New Roman"/>
          <w:bCs/>
          <w:sz w:val="28"/>
          <w:szCs w:val="28"/>
        </w:rPr>
        <w:t xml:space="preserve"> las entidades vigiladas deben incluir todos los costos tecnológicos en la tasa de interés que informan, las entidades no vigiladas por una autoridad administrativa en particular pueden presentar una tasa de interés artificialmente reducida, trasladando co</w:t>
      </w:r>
      <w:r w:rsidRPr="00862128">
        <w:rPr>
          <w:rFonts w:ascii="Times New Roman" w:hAnsi="Times New Roman"/>
          <w:bCs/>
          <w:sz w:val="28"/>
          <w:szCs w:val="28"/>
        </w:rPr>
        <w:t>stos esenciales como la firma electrónica a rubros adicionales que no forman parte de ese indicador principal de comparación”</w:t>
      </w:r>
      <w:r w:rsidRPr="00862128">
        <w:rPr>
          <w:rFonts w:ascii="Times New Roman" w:hAnsi="Times New Roman"/>
          <w:bCs/>
          <w:sz w:val="28"/>
          <w:szCs w:val="28"/>
          <w:vertAlign w:val="superscript"/>
        </w:rPr>
        <w:t xml:space="preserve"> </w:t>
      </w:r>
      <w:r w:rsidRPr="00862128">
        <w:rPr>
          <w:rFonts w:ascii="Times New Roman" w:hAnsi="Times New Roman"/>
          <w:bCs/>
          <w:sz w:val="28"/>
          <w:szCs w:val="28"/>
          <w:vertAlign w:val="superscript"/>
        </w:rPr>
        <w:footnoteReference w:id="98"/>
      </w:r>
      <w:r w:rsidRPr="00862128">
        <w:rPr>
          <w:rFonts w:ascii="Times New Roman" w:hAnsi="Times New Roman"/>
          <w:bCs/>
          <w:sz w:val="28"/>
          <w:szCs w:val="28"/>
        </w:rPr>
        <w:t xml:space="preserve">. Este argumento es </w:t>
      </w:r>
      <w:r w:rsidRPr="00862128">
        <w:rPr>
          <w:rFonts w:ascii="Times New Roman" w:hAnsi="Times New Roman"/>
          <w:sz w:val="28"/>
          <w:szCs w:val="28"/>
        </w:rPr>
        <w:t>conjetural porque</w:t>
      </w:r>
      <w:r w:rsidRPr="00862128">
        <w:rPr>
          <w:rFonts w:ascii="Times New Roman" w:hAnsi="Times New Roman"/>
          <w:bCs/>
          <w:sz w:val="28"/>
          <w:szCs w:val="28"/>
        </w:rPr>
        <w:t xml:space="preserve"> asume que las entidades no vigiladas </w:t>
      </w:r>
      <w:r w:rsidRPr="00862128">
        <w:rPr>
          <w:rFonts w:ascii="Times New Roman" w:hAnsi="Times New Roman"/>
          <w:bCs/>
          <w:i/>
          <w:iCs/>
          <w:sz w:val="28"/>
          <w:szCs w:val="28"/>
        </w:rPr>
        <w:t>pueden</w:t>
      </w:r>
      <w:r w:rsidRPr="00862128">
        <w:rPr>
          <w:rFonts w:ascii="Times New Roman" w:hAnsi="Times New Roman"/>
          <w:bCs/>
          <w:sz w:val="28"/>
          <w:szCs w:val="28"/>
        </w:rPr>
        <w:t xml:space="preserve"> manipular tasas al separar costos tecnológicos</w:t>
      </w:r>
      <w:r w:rsidRPr="00862128">
        <w:rPr>
          <w:rFonts w:ascii="Times New Roman" w:hAnsi="Times New Roman"/>
          <w:bCs/>
          <w:sz w:val="28"/>
          <w:szCs w:val="28"/>
        </w:rPr>
        <w:t xml:space="preserve"> </w:t>
      </w:r>
      <w:r w:rsidRPr="00862128">
        <w:rPr>
          <w:rFonts w:ascii="Times New Roman" w:hAnsi="Times New Roman"/>
          <w:bCs/>
          <w:sz w:val="28"/>
          <w:szCs w:val="28"/>
        </w:rPr>
        <w:t>y con ello presentar “una tasa de interés artificialmente reducida”</w:t>
      </w:r>
      <w:r w:rsidRPr="00862128">
        <w:rPr>
          <w:rFonts w:ascii="Times New Roman" w:hAnsi="Times New Roman"/>
          <w:bCs/>
          <w:sz w:val="28"/>
          <w:szCs w:val="28"/>
        </w:rPr>
        <w:t>. Se basa en una hipótesis sobre un comportamiento potencial, sin demostrar que tal práctica ocurre efectivamente, configurándose más como una suposición que como un hecho probado.</w:t>
      </w:r>
      <w:r w:rsidRPr="00862128">
        <w:rPr>
          <w:rFonts w:ascii="Times New Roman" w:hAnsi="Times New Roman"/>
          <w:bCs/>
          <w:sz w:val="28"/>
          <w:szCs w:val="28"/>
        </w:rPr>
        <w:t xml:space="preserve"> </w:t>
      </w:r>
      <w:r w:rsidRPr="00862128">
        <w:rPr>
          <w:rFonts w:ascii="Times New Roman" w:hAnsi="Times New Roman"/>
          <w:bCs/>
          <w:sz w:val="28"/>
          <w:szCs w:val="28"/>
          <w:lang w:val="es-ES"/>
        </w:rPr>
        <w:t>Este arg</w:t>
      </w:r>
      <w:r w:rsidRPr="00862128">
        <w:rPr>
          <w:rFonts w:ascii="Times New Roman" w:hAnsi="Times New Roman"/>
          <w:bCs/>
          <w:sz w:val="28"/>
          <w:szCs w:val="28"/>
          <w:lang w:val="es-ES"/>
        </w:rPr>
        <w:t>umento especulativo carece de naturaleza constitucional.</w:t>
      </w:r>
    </w:p>
    <w:p w:rsidR="004A1C81" w:rsidRPr="00862128" w:rsidRDefault="00862128" w:rsidP="004A1C81">
      <w:pPr>
        <w:pStyle w:val="Prrafodelista"/>
        <w:tabs>
          <w:tab w:val="left" w:pos="567"/>
        </w:tabs>
        <w:ind w:left="0"/>
        <w:jc w:val="both"/>
        <w:rPr>
          <w:rFonts w:ascii="Times New Roman" w:hAnsi="Times New Roman"/>
          <w:bCs/>
          <w:sz w:val="28"/>
          <w:szCs w:val="28"/>
          <w:lang w:val="es-ES"/>
        </w:rPr>
      </w:pPr>
    </w:p>
    <w:p w:rsidR="004A1C81" w:rsidRPr="00862128" w:rsidRDefault="00862128" w:rsidP="004A1C81">
      <w:pPr>
        <w:rPr>
          <w:rFonts w:ascii="Times New Roman" w:hAnsi="Times New Roman"/>
          <w:b/>
          <w:bCs/>
          <w:i/>
          <w:iCs/>
          <w:color w:val="000000"/>
          <w:sz w:val="28"/>
          <w:szCs w:val="28"/>
        </w:rPr>
      </w:pPr>
      <w:r w:rsidRPr="00862128">
        <w:rPr>
          <w:rFonts w:ascii="Times New Roman" w:hAnsi="Times New Roman"/>
          <w:b/>
          <w:bCs/>
          <w:i/>
          <w:iCs/>
          <w:color w:val="000000"/>
          <w:sz w:val="28"/>
          <w:szCs w:val="28"/>
        </w:rPr>
        <w:t>Suficiencia</w:t>
      </w:r>
    </w:p>
    <w:p w:rsidR="004A1C81" w:rsidRPr="00862128" w:rsidRDefault="00862128" w:rsidP="00B56BDF">
      <w:pPr>
        <w:rPr>
          <w:rFonts w:ascii="Times New Roman" w:hAnsi="Times New Roman"/>
          <w:sz w:val="28"/>
          <w:szCs w:val="28"/>
        </w:rPr>
      </w:pPr>
    </w:p>
    <w:p w:rsidR="004A1C81" w:rsidRPr="00862128" w:rsidRDefault="00862128" w:rsidP="004A1C81">
      <w:pPr>
        <w:pStyle w:val="Prrafodelista"/>
        <w:numPr>
          <w:ilvl w:val="0"/>
          <w:numId w:val="4"/>
        </w:numPr>
        <w:tabs>
          <w:tab w:val="left" w:pos="567"/>
        </w:tabs>
        <w:ind w:left="0" w:firstLine="0"/>
        <w:jc w:val="both"/>
        <w:rPr>
          <w:rFonts w:ascii="Times New Roman" w:hAnsi="Times New Roman"/>
          <w:bCs/>
          <w:sz w:val="28"/>
          <w:szCs w:val="28"/>
          <w:lang w:val="es-ES"/>
        </w:rPr>
      </w:pPr>
      <w:r w:rsidRPr="00862128">
        <w:rPr>
          <w:rFonts w:ascii="Times New Roman" w:hAnsi="Times New Roman"/>
          <w:sz w:val="28"/>
          <w:szCs w:val="28"/>
        </w:rPr>
        <w:t xml:space="preserve">El </w:t>
      </w:r>
      <w:r w:rsidRPr="00862128">
        <w:rPr>
          <w:rFonts w:ascii="Times New Roman" w:hAnsi="Times New Roman"/>
          <w:sz w:val="28"/>
          <w:szCs w:val="28"/>
          <w:lang w:val="es-419"/>
        </w:rPr>
        <w:t>requisito de suficiencia</w:t>
      </w:r>
      <w:r w:rsidRPr="00862128">
        <w:rPr>
          <w:rFonts w:ascii="Times New Roman" w:hAnsi="Times New Roman"/>
          <w:sz w:val="28"/>
          <w:szCs w:val="28"/>
        </w:rPr>
        <w:t xml:space="preserve"> se </w:t>
      </w:r>
      <w:r w:rsidRPr="00862128">
        <w:rPr>
          <w:rFonts w:ascii="Times New Roman" w:hAnsi="Times New Roman"/>
          <w:sz w:val="28"/>
          <w:szCs w:val="28"/>
        </w:rPr>
        <w:t xml:space="preserve">cumple cuando la demanda genera </w:t>
      </w:r>
      <w:r w:rsidRPr="00862128">
        <w:rPr>
          <w:rFonts w:ascii="Times New Roman" w:hAnsi="Times New Roman"/>
          <w:sz w:val="28"/>
          <w:szCs w:val="28"/>
        </w:rPr>
        <w:t xml:space="preserve">una duda mínima sobre </w:t>
      </w:r>
      <w:r w:rsidRPr="00862128">
        <w:rPr>
          <w:rFonts w:ascii="Times New Roman" w:hAnsi="Times New Roman"/>
          <w:sz w:val="28"/>
          <w:szCs w:val="28"/>
        </w:rPr>
        <w:t>la</w:t>
      </w:r>
      <w:r w:rsidRPr="00862128">
        <w:rPr>
          <w:rFonts w:ascii="Times New Roman" w:hAnsi="Times New Roman"/>
          <w:sz w:val="28"/>
          <w:szCs w:val="28"/>
        </w:rPr>
        <w:t xml:space="preserve"> constitucionalidad</w:t>
      </w:r>
      <w:r w:rsidRPr="00862128">
        <w:rPr>
          <w:rFonts w:ascii="Times New Roman" w:hAnsi="Times New Roman"/>
          <w:sz w:val="28"/>
          <w:szCs w:val="28"/>
        </w:rPr>
        <w:t xml:space="preserve"> de la norma cuestionada</w:t>
      </w:r>
      <w:r w:rsidRPr="00862128">
        <w:rPr>
          <w:rFonts w:ascii="Times New Roman" w:hAnsi="Times New Roman"/>
          <w:sz w:val="28"/>
          <w:szCs w:val="28"/>
        </w:rPr>
        <w:t>. Para ello será necesario analizar conjuntamente el cumplimiento de los demás requisitos a fin de identificar si la acusación logra persuadir a la Corte sobre la posible infracción de la C</w:t>
      </w:r>
      <w:r w:rsidRPr="00862128">
        <w:rPr>
          <w:rFonts w:ascii="Times New Roman" w:hAnsi="Times New Roman"/>
          <w:sz w:val="28"/>
          <w:szCs w:val="28"/>
        </w:rPr>
        <w:t xml:space="preserve">onstitución. </w:t>
      </w:r>
    </w:p>
    <w:p w:rsidR="004A1C81" w:rsidRPr="00862128" w:rsidRDefault="00862128" w:rsidP="003664DF">
      <w:pPr>
        <w:pStyle w:val="Prrafodelista"/>
        <w:rPr>
          <w:rFonts w:ascii="Times New Roman" w:hAnsi="Times New Roman"/>
          <w:sz w:val="28"/>
          <w:szCs w:val="28"/>
          <w:lang w:val="es-ES_tradnl"/>
        </w:rPr>
      </w:pPr>
    </w:p>
    <w:p w:rsidR="00902ABC" w:rsidRPr="00862128" w:rsidRDefault="00862128" w:rsidP="003664DF">
      <w:pPr>
        <w:pStyle w:val="Prrafodelista"/>
        <w:numPr>
          <w:ilvl w:val="0"/>
          <w:numId w:val="4"/>
        </w:numPr>
        <w:tabs>
          <w:tab w:val="left" w:pos="567"/>
        </w:tabs>
        <w:ind w:left="0" w:firstLine="0"/>
        <w:jc w:val="both"/>
        <w:rPr>
          <w:rFonts w:ascii="Times New Roman" w:hAnsi="Times New Roman"/>
          <w:bCs/>
          <w:sz w:val="28"/>
          <w:szCs w:val="28"/>
          <w:lang w:val="es-ES"/>
        </w:rPr>
      </w:pPr>
      <w:r w:rsidRPr="00862128">
        <w:rPr>
          <w:rFonts w:ascii="Times New Roman" w:hAnsi="Times New Roman"/>
          <w:sz w:val="28"/>
          <w:szCs w:val="28"/>
          <w:lang w:val="es-ES"/>
        </w:rPr>
        <w:t>Si</w:t>
      </w:r>
      <w:r w:rsidRPr="00862128">
        <w:rPr>
          <w:rFonts w:ascii="Times New Roman" w:hAnsi="Times New Roman"/>
          <w:sz w:val="28"/>
          <w:szCs w:val="28"/>
        </w:rPr>
        <w:t xml:space="preserve"> no se cumplen los requisitos de certeza, especifi</w:t>
      </w:r>
      <w:r w:rsidRPr="00862128">
        <w:rPr>
          <w:rFonts w:ascii="Times New Roman" w:hAnsi="Times New Roman"/>
          <w:sz w:val="28"/>
          <w:szCs w:val="28"/>
        </w:rPr>
        <w:t xml:space="preserve">cidad, pertinencia y los criterios específicos relacionados con el principio de igualdad </w:t>
      </w:r>
      <w:r w:rsidRPr="00862128">
        <w:rPr>
          <w:rFonts w:ascii="Times New Roman" w:hAnsi="Times New Roman"/>
          <w:sz w:val="28"/>
          <w:szCs w:val="28"/>
          <w:lang w:val="es-ES_tradnl"/>
        </w:rPr>
        <w:t>(no acredita un trato diferencial del ordenamiento jurídico)</w:t>
      </w:r>
      <w:r w:rsidRPr="00862128">
        <w:rPr>
          <w:rFonts w:ascii="Times New Roman" w:hAnsi="Times New Roman"/>
          <w:sz w:val="28"/>
          <w:szCs w:val="28"/>
        </w:rPr>
        <w:t>, esto no crea dudas sobre la constitucionalidad de la expresión impugnad</w:t>
      </w:r>
      <w:r w:rsidRPr="00862128">
        <w:rPr>
          <w:rFonts w:ascii="Times New Roman" w:hAnsi="Times New Roman"/>
          <w:sz w:val="28"/>
          <w:szCs w:val="28"/>
        </w:rPr>
        <w:t>a</w:t>
      </w:r>
      <w:r w:rsidRPr="00862128">
        <w:rPr>
          <w:rFonts w:ascii="Times New Roman" w:hAnsi="Times New Roman"/>
          <w:sz w:val="28"/>
          <w:szCs w:val="28"/>
        </w:rPr>
        <w:t xml:space="preserve">. La falta de estos requisitos </w:t>
      </w:r>
      <w:r w:rsidRPr="00862128">
        <w:rPr>
          <w:rFonts w:ascii="Times New Roman" w:hAnsi="Times New Roman"/>
          <w:sz w:val="28"/>
          <w:szCs w:val="28"/>
        </w:rPr>
        <w:t>genera que demanda sea insuficiente para cuestionar la constitucionalidad de</w:t>
      </w:r>
      <w:r w:rsidRPr="00862128">
        <w:rPr>
          <w:rFonts w:ascii="Times New Roman" w:hAnsi="Times New Roman"/>
          <w:sz w:val="28"/>
          <w:szCs w:val="28"/>
        </w:rPr>
        <w:t xml:space="preserve">l término </w:t>
      </w:r>
      <w:r w:rsidRPr="00862128">
        <w:rPr>
          <w:rFonts w:ascii="Times New Roman" w:hAnsi="Times New Roman"/>
          <w:sz w:val="28"/>
          <w:szCs w:val="28"/>
        </w:rPr>
        <w:t xml:space="preserve"> “firma electrónica”.</w:t>
      </w:r>
      <w:r w:rsidRPr="00862128">
        <w:rPr>
          <w:rFonts w:ascii="Times New Roman" w:hAnsi="Times New Roman"/>
          <w:sz w:val="28"/>
          <w:szCs w:val="28"/>
          <w:lang w:val="es-ES_tradnl"/>
        </w:rPr>
        <w:t xml:space="preserve"> </w:t>
      </w:r>
    </w:p>
    <w:p w:rsidR="00AF2A2E" w:rsidRPr="00862128" w:rsidRDefault="00862128" w:rsidP="003664DF">
      <w:pPr>
        <w:pStyle w:val="Prrafodelista"/>
        <w:rPr>
          <w:rFonts w:ascii="Times New Roman" w:hAnsi="Times New Roman"/>
          <w:sz w:val="28"/>
          <w:szCs w:val="28"/>
        </w:rPr>
      </w:pPr>
    </w:p>
    <w:p w:rsidR="00AE20A1"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En síntesis, el cargo sobre presunta vulneración del principio de igualdad no cumple con los requisitos especiales de igualdad, certeza,</w:t>
      </w:r>
      <w:r w:rsidRPr="00862128">
        <w:rPr>
          <w:rFonts w:ascii="Times New Roman" w:hAnsi="Times New Roman"/>
          <w:sz w:val="28"/>
          <w:szCs w:val="28"/>
        </w:rPr>
        <w:t xml:space="preserve"> </w:t>
      </w:r>
      <w:r w:rsidRPr="00862128">
        <w:rPr>
          <w:rFonts w:ascii="Times New Roman" w:hAnsi="Times New Roman"/>
          <w:sz w:val="28"/>
          <w:szCs w:val="28"/>
        </w:rPr>
        <w:t>especific</w:t>
      </w:r>
      <w:r w:rsidRPr="00862128">
        <w:rPr>
          <w:rFonts w:ascii="Times New Roman" w:hAnsi="Times New Roman"/>
          <w:sz w:val="28"/>
          <w:szCs w:val="28"/>
        </w:rPr>
        <w:t>idad</w:t>
      </w:r>
      <w:r w:rsidRPr="00862128">
        <w:rPr>
          <w:rFonts w:ascii="Times New Roman" w:hAnsi="Times New Roman"/>
          <w:sz w:val="28"/>
          <w:szCs w:val="28"/>
        </w:rPr>
        <w:t xml:space="preserve">, </w:t>
      </w:r>
      <w:r w:rsidRPr="00862128">
        <w:rPr>
          <w:rFonts w:ascii="Times New Roman" w:hAnsi="Times New Roman"/>
          <w:sz w:val="28"/>
          <w:szCs w:val="28"/>
        </w:rPr>
        <w:t xml:space="preserve">pertinencia </w:t>
      </w:r>
      <w:r w:rsidRPr="00862128">
        <w:rPr>
          <w:rFonts w:ascii="Times New Roman" w:hAnsi="Times New Roman"/>
          <w:sz w:val="28"/>
          <w:szCs w:val="28"/>
        </w:rPr>
        <w:t>y suficiencia</w:t>
      </w:r>
      <w:r w:rsidRPr="00862128">
        <w:rPr>
          <w:rFonts w:ascii="Times New Roman" w:hAnsi="Times New Roman"/>
          <w:sz w:val="28"/>
          <w:szCs w:val="28"/>
        </w:rPr>
        <w:t>.</w:t>
      </w:r>
    </w:p>
    <w:p w:rsidR="00750770" w:rsidRPr="00862128" w:rsidRDefault="00862128" w:rsidP="00750770">
      <w:pPr>
        <w:rPr>
          <w:rFonts w:ascii="Times New Roman" w:hAnsi="Times New Roman"/>
          <w:i/>
          <w:iCs/>
          <w:sz w:val="28"/>
          <w:szCs w:val="28"/>
        </w:rPr>
      </w:pPr>
    </w:p>
    <w:p w:rsidR="009B7FCE" w:rsidRPr="00862128" w:rsidRDefault="00862128" w:rsidP="003664DF">
      <w:pPr>
        <w:pStyle w:val="Ttulo3"/>
        <w:ind w:hanging="11"/>
        <w:jc w:val="both"/>
        <w:rPr>
          <w:rFonts w:ascii="Times New Roman" w:hAnsi="Times New Roman"/>
          <w:b/>
          <w:bCs/>
        </w:rPr>
      </w:pPr>
      <w:bookmarkStart w:id="24" w:name="_Toc223713287"/>
      <w:r w:rsidRPr="00862128">
        <w:rPr>
          <w:rFonts w:ascii="Times New Roman" w:hAnsi="Times New Roman"/>
          <w:b/>
          <w:bCs/>
          <w:color w:val="auto"/>
          <w:lang w:val="es-ES_tradnl"/>
        </w:rPr>
        <w:t>3.</w:t>
      </w:r>
      <w:r w:rsidRPr="00862128">
        <w:rPr>
          <w:rFonts w:ascii="Times New Roman" w:hAnsi="Times New Roman"/>
          <w:b/>
          <w:bCs/>
          <w:color w:val="auto"/>
          <w:lang w:val="es-ES_tradnl"/>
        </w:rPr>
        <w:t>3</w:t>
      </w:r>
      <w:r w:rsidRPr="00862128">
        <w:rPr>
          <w:rFonts w:ascii="Times New Roman" w:hAnsi="Times New Roman"/>
          <w:b/>
          <w:bCs/>
          <w:color w:val="auto"/>
          <w:lang w:val="es-ES_tradnl"/>
        </w:rPr>
        <w:t xml:space="preserve">. </w:t>
      </w:r>
      <w:r w:rsidRPr="00862128">
        <w:rPr>
          <w:rFonts w:ascii="Times New Roman" w:hAnsi="Times New Roman"/>
          <w:b/>
          <w:bCs/>
          <w:color w:val="000000"/>
        </w:rPr>
        <w:t>Los cargos por violación de los derechos del consumidor y de la libertad de empresa carecen de certeza, especificidad, pertinencia y suficiencia</w:t>
      </w:r>
      <w:bookmarkEnd w:id="24"/>
    </w:p>
    <w:p w:rsidR="009B7FCE" w:rsidRPr="00862128" w:rsidRDefault="00862128" w:rsidP="003664DF">
      <w:pPr>
        <w:rPr>
          <w:rFonts w:ascii="Times New Roman" w:hAnsi="Times New Roman"/>
          <w:sz w:val="28"/>
        </w:rPr>
      </w:pPr>
    </w:p>
    <w:p w:rsidR="009B7FCE" w:rsidRPr="00862128" w:rsidRDefault="00862128" w:rsidP="003664DF">
      <w:pPr>
        <w:jc w:val="both"/>
        <w:rPr>
          <w:rFonts w:ascii="Times New Roman" w:hAnsi="Times New Roman"/>
          <w:sz w:val="28"/>
          <w:szCs w:val="28"/>
          <w:lang w:val="es-ES"/>
        </w:rPr>
      </w:pPr>
      <w:r w:rsidRPr="00862128">
        <w:rPr>
          <w:rFonts w:ascii="Times New Roman" w:hAnsi="Times New Roman"/>
          <w:sz w:val="28"/>
          <w:szCs w:val="28"/>
        </w:rPr>
        <w:t xml:space="preserve">La Corte llevará a cabo el análisis de los cargos por violación de los derechos del consumidor y de la libertad de empresa de la siguiente manera: primero, proporcionará un resumen de los argumentos del demandante. Segundo, explicará por qué concluye que </w:t>
      </w:r>
      <w:r w:rsidRPr="00862128">
        <w:rPr>
          <w:rFonts w:ascii="Times New Roman" w:hAnsi="Times New Roman"/>
          <w:sz w:val="28"/>
          <w:szCs w:val="28"/>
          <w:lang w:val="es-ES"/>
        </w:rPr>
        <w:t>l</w:t>
      </w:r>
      <w:r w:rsidRPr="00862128">
        <w:rPr>
          <w:rFonts w:ascii="Times New Roman" w:hAnsi="Times New Roman"/>
          <w:sz w:val="28"/>
          <w:szCs w:val="28"/>
          <w:lang w:val="es-ES"/>
        </w:rPr>
        <w:t>os cargos no cumplen los requisitos de certeza, especificidad, pertinencia y suficiencia.</w:t>
      </w:r>
    </w:p>
    <w:p w:rsidR="00275E98" w:rsidRPr="00862128" w:rsidRDefault="00862128" w:rsidP="003664DF">
      <w:pPr>
        <w:jc w:val="both"/>
        <w:rPr>
          <w:rFonts w:ascii="Times New Roman" w:hAnsi="Times New Roman"/>
          <w:sz w:val="28"/>
          <w:lang w:val="es-ES_tradnl"/>
        </w:rPr>
      </w:pPr>
    </w:p>
    <w:p w:rsidR="00750770" w:rsidRPr="00862128" w:rsidRDefault="00862128" w:rsidP="003664DF">
      <w:pPr>
        <w:jc w:val="both"/>
        <w:rPr>
          <w:rFonts w:ascii="Times New Roman" w:hAnsi="Times New Roman"/>
          <w:sz w:val="28"/>
          <w:szCs w:val="28"/>
          <w:lang w:val="es-ES_tradnl"/>
        </w:rPr>
      </w:pPr>
      <w:r w:rsidRPr="00862128">
        <w:rPr>
          <w:rFonts w:ascii="Times New Roman" w:hAnsi="Times New Roman"/>
          <w:b/>
          <w:bCs/>
          <w:i/>
          <w:iCs/>
          <w:sz w:val="28"/>
          <w:szCs w:val="28"/>
          <w:lang w:val="es-ES_tradnl"/>
        </w:rPr>
        <w:t>Resumen de los cargos por violación de los derechos del consumidor y de la libertad de empresa (Artículos 78 y 333 de la Constitución)</w:t>
      </w:r>
    </w:p>
    <w:p w:rsidR="00750770" w:rsidRPr="00862128" w:rsidRDefault="00862128" w:rsidP="00750770">
      <w:pPr>
        <w:rPr>
          <w:rFonts w:ascii="Times New Roman" w:hAnsi="Times New Roman"/>
          <w:i/>
          <w:iCs/>
          <w:sz w:val="28"/>
          <w:szCs w:val="28"/>
        </w:rPr>
      </w:pPr>
    </w:p>
    <w:p w:rsidR="007E6E72" w:rsidRPr="00862128" w:rsidRDefault="00862128" w:rsidP="007E6E72">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lang w:val="es-ES_tradnl"/>
        </w:rPr>
        <w:t xml:space="preserve">Según el demandante, la expresión “firma electrónica” también vulnera los artículos </w:t>
      </w:r>
      <w:r w:rsidRPr="00862128">
        <w:rPr>
          <w:rFonts w:ascii="Times New Roman" w:hAnsi="Times New Roman"/>
          <w:sz w:val="28"/>
          <w:szCs w:val="28"/>
        </w:rPr>
        <w:t xml:space="preserve">78 (protección de los consumidores) y 333 (libre competencia económica y libertad de empresa) de la Constitución Política.  Estas son las </w:t>
      </w:r>
      <w:r w:rsidRPr="00862128">
        <w:rPr>
          <w:rFonts w:ascii="Times New Roman" w:hAnsi="Times New Roman"/>
          <w:sz w:val="28"/>
          <w:szCs w:val="28"/>
        </w:rPr>
        <w:t xml:space="preserve">principales </w:t>
      </w:r>
      <w:r w:rsidRPr="00862128">
        <w:rPr>
          <w:rFonts w:ascii="Times New Roman" w:hAnsi="Times New Roman"/>
          <w:sz w:val="28"/>
          <w:szCs w:val="28"/>
        </w:rPr>
        <w:t>razones  de su afirmac</w:t>
      </w:r>
      <w:r w:rsidRPr="00862128">
        <w:rPr>
          <w:rFonts w:ascii="Times New Roman" w:hAnsi="Times New Roman"/>
          <w:sz w:val="28"/>
          <w:szCs w:val="28"/>
        </w:rPr>
        <w:t>ión:</w:t>
      </w:r>
    </w:p>
    <w:p w:rsidR="007E6E72" w:rsidRPr="00862128" w:rsidRDefault="00862128" w:rsidP="007E6E72">
      <w:pPr>
        <w:pStyle w:val="Prrafodelista"/>
        <w:tabs>
          <w:tab w:val="left" w:pos="567"/>
        </w:tabs>
        <w:ind w:left="0"/>
        <w:jc w:val="both"/>
        <w:rPr>
          <w:rFonts w:ascii="Times New Roman" w:hAnsi="Times New Roman"/>
          <w:sz w:val="28"/>
          <w:szCs w:val="28"/>
        </w:rPr>
      </w:pPr>
    </w:p>
    <w:p w:rsidR="003D003E" w:rsidRPr="00862128" w:rsidRDefault="00862128" w:rsidP="007E6E72">
      <w:pPr>
        <w:pStyle w:val="Prrafodelista"/>
        <w:tabs>
          <w:tab w:val="left" w:pos="567"/>
        </w:tabs>
        <w:ind w:left="0"/>
        <w:jc w:val="both"/>
        <w:rPr>
          <w:rFonts w:ascii="Times New Roman" w:hAnsi="Times New Roman"/>
          <w:b/>
          <w:bCs/>
          <w:i/>
          <w:iCs/>
          <w:color w:val="000000"/>
          <w:sz w:val="28"/>
          <w:szCs w:val="28"/>
        </w:rPr>
      </w:pPr>
      <w:r w:rsidRPr="00862128">
        <w:rPr>
          <w:rFonts w:ascii="Times New Roman" w:hAnsi="Times New Roman"/>
          <w:b/>
          <w:bCs/>
          <w:i/>
          <w:iCs/>
          <w:color w:val="000000"/>
          <w:sz w:val="28"/>
          <w:szCs w:val="28"/>
        </w:rPr>
        <w:t>Protección del consumidor</w:t>
      </w:r>
    </w:p>
    <w:p w:rsidR="003D003E" w:rsidRPr="00862128" w:rsidRDefault="00862128" w:rsidP="007E6E72">
      <w:pPr>
        <w:pStyle w:val="Prrafodelista"/>
        <w:tabs>
          <w:tab w:val="left" w:pos="567"/>
        </w:tabs>
        <w:ind w:left="0"/>
        <w:jc w:val="both"/>
        <w:rPr>
          <w:rFonts w:ascii="Times New Roman" w:hAnsi="Times New Roman"/>
          <w:sz w:val="28"/>
          <w:szCs w:val="28"/>
        </w:rPr>
      </w:pPr>
    </w:p>
    <w:p w:rsidR="009A53B1" w:rsidRPr="00862128" w:rsidRDefault="00862128" w:rsidP="007E6E72">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Estima el demandante que “l</w:t>
      </w:r>
      <w:r w:rsidRPr="00862128">
        <w:rPr>
          <w:rFonts w:ascii="Times New Roman" w:hAnsi="Times New Roman"/>
          <w:sz w:val="28"/>
          <w:szCs w:val="28"/>
        </w:rPr>
        <w:t>a norma demandada representa un claro retroceso en la protección al consumidor financiero, por cuanto desmejora la situación de los consumidores que, previamente a la expedición de esta regulación</w:t>
      </w:r>
      <w:r w:rsidRPr="00862128">
        <w:rPr>
          <w:rFonts w:ascii="Times New Roman" w:hAnsi="Times New Roman"/>
          <w:sz w:val="28"/>
          <w:szCs w:val="28"/>
        </w:rPr>
        <w:t>, contaban con un régimen de intereses más favorable en las operaciones de crédito con entidades no vigiladas, de acuerdo con el cual la totalidad los costos tecnológicos debían computarse como intereses. Bajo la nueva normativa, el acceso al crédito se to</w:t>
      </w:r>
      <w:r w:rsidRPr="00862128">
        <w:rPr>
          <w:rFonts w:ascii="Times New Roman" w:hAnsi="Times New Roman"/>
          <w:sz w:val="28"/>
          <w:szCs w:val="28"/>
        </w:rPr>
        <w:t>rna más oneroso y se abre la puerta a que costos tecnológicos, inherentes al funcionamiento de estas tecnologías, sean cobrados de forma independiente a los consumidores</w:t>
      </w:r>
      <w:r w:rsidRPr="00862128">
        <w:rPr>
          <w:rFonts w:ascii="Times New Roman" w:hAnsi="Times New Roman"/>
          <w:sz w:val="28"/>
          <w:szCs w:val="28"/>
        </w:rPr>
        <w:t>.</w:t>
      </w:r>
      <w:r w:rsidRPr="00862128">
        <w:rPr>
          <w:rFonts w:ascii="Times New Roman" w:hAnsi="Times New Roman"/>
          <w:sz w:val="28"/>
          <w:szCs w:val="28"/>
        </w:rPr>
        <w:t>”</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99"/>
      </w:r>
    </w:p>
    <w:p w:rsidR="009A53B1" w:rsidRPr="00862128" w:rsidRDefault="00862128" w:rsidP="009A53B1">
      <w:pPr>
        <w:pStyle w:val="p1"/>
        <w:jc w:val="both"/>
        <w:rPr>
          <w:rFonts w:ascii="Times New Roman" w:hAnsi="Times New Roman"/>
          <w:sz w:val="28"/>
          <w:szCs w:val="28"/>
        </w:rPr>
      </w:pPr>
    </w:p>
    <w:p w:rsidR="009A53B1" w:rsidRPr="00862128" w:rsidRDefault="00862128" w:rsidP="009A53B1">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Para el demandante, la norma genera un menoscabo para el consumidor financiero y </w:t>
      </w:r>
      <w:r w:rsidRPr="00862128">
        <w:rPr>
          <w:rFonts w:ascii="Times New Roman" w:hAnsi="Times New Roman"/>
          <w:sz w:val="28"/>
          <w:szCs w:val="28"/>
        </w:rPr>
        <w:t>viola la libre competencia porque (i) el tratamiento diferenciado permite que el grupo al que la norma demandada resulta aplicable eluda los límites máximos de interés establecidos en la ley, al facultarlo para excluir de los intereses los costos asociados</w:t>
      </w:r>
      <w:r w:rsidRPr="00862128">
        <w:rPr>
          <w:rFonts w:ascii="Times New Roman" w:hAnsi="Times New Roman"/>
          <w:sz w:val="28"/>
          <w:szCs w:val="28"/>
        </w:rPr>
        <w:t xml:space="preserve"> a la firma electrónica, que no están regulados; y (ii) el tratamiento mencionado impide que el consumidor tenga acceso a información comparable sobre las alternativas que puede encontrar en el mercado. </w:t>
      </w:r>
    </w:p>
    <w:p w:rsidR="00750770" w:rsidRPr="00862128" w:rsidRDefault="00862128" w:rsidP="007E6E72">
      <w:pPr>
        <w:rPr>
          <w:rFonts w:ascii="Times New Roman" w:hAnsi="Times New Roman"/>
          <w:sz w:val="28"/>
          <w:szCs w:val="28"/>
        </w:rPr>
      </w:pPr>
    </w:p>
    <w:p w:rsidR="00750770" w:rsidRPr="00862128" w:rsidRDefault="00862128" w:rsidP="00750770">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Señala el actor que la tasa de interés constituye e</w:t>
      </w:r>
      <w:r w:rsidRPr="00862128">
        <w:rPr>
          <w:rFonts w:ascii="Times New Roman" w:hAnsi="Times New Roman"/>
          <w:sz w:val="28"/>
          <w:szCs w:val="28"/>
        </w:rPr>
        <w:t>l indicador principal que utilizan los consumidores para evaluar y comparar las diferentes opciones de crédito disponibles en el mercado.</w:t>
      </w:r>
    </w:p>
    <w:p w:rsidR="00750770" w:rsidRPr="00862128" w:rsidRDefault="00862128" w:rsidP="00750770">
      <w:pPr>
        <w:pStyle w:val="Prrafodelista"/>
        <w:rPr>
          <w:rFonts w:ascii="Times New Roman" w:hAnsi="Times New Roman"/>
          <w:sz w:val="28"/>
          <w:szCs w:val="28"/>
        </w:rPr>
      </w:pPr>
    </w:p>
    <w:p w:rsidR="00750770" w:rsidRPr="00862128" w:rsidRDefault="00862128" w:rsidP="00750770">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Si bien es cierto -asegura el demandante- que el mismo artículo 45 de la Ley 1480 de 2011 exige que los rubros que no</w:t>
      </w:r>
      <w:r w:rsidRPr="00862128">
        <w:rPr>
          <w:rFonts w:ascii="Times New Roman" w:hAnsi="Times New Roman"/>
          <w:sz w:val="28"/>
          <w:szCs w:val="28"/>
        </w:rPr>
        <w:t xml:space="preserve"> se reputen intereses sean “debidamente informados” al consumidor, lo cierto es que ese deber no suple adecuadamente el vacío de información al que este último se ve enfrentado. Tal es la situación porque (i) no existe una regulación específica sobre la fo</w:t>
      </w:r>
      <w:r w:rsidRPr="00862128">
        <w:rPr>
          <w:rFonts w:ascii="Times New Roman" w:hAnsi="Times New Roman"/>
          <w:sz w:val="28"/>
          <w:szCs w:val="28"/>
        </w:rPr>
        <w:t>rma en la que esa información concreta debe ser suministrada (a diferencia de lo que ocurre con la tasa de interés) y (ii) la persona interesada en un crédito tendría que efectuar una serie de cálculos y análisis particulares para comparar ofertas provenie</w:t>
      </w:r>
      <w:r w:rsidRPr="00862128">
        <w:rPr>
          <w:rFonts w:ascii="Times New Roman" w:hAnsi="Times New Roman"/>
          <w:sz w:val="28"/>
          <w:szCs w:val="28"/>
        </w:rPr>
        <w:t>ntes de entidades o personas de los dos grupos comparables. No obstante, el consumidor financiero promedio no tiene tiempo ni conocimiento para realizarlos de forma adecuada, pues se requiere pericia en la materia.</w:t>
      </w:r>
    </w:p>
    <w:p w:rsidR="00750770" w:rsidRPr="00862128" w:rsidRDefault="00862128" w:rsidP="003D003E">
      <w:pPr>
        <w:rPr>
          <w:rFonts w:ascii="Times New Roman" w:hAnsi="Times New Roman"/>
          <w:sz w:val="28"/>
          <w:szCs w:val="28"/>
        </w:rPr>
      </w:pPr>
    </w:p>
    <w:p w:rsidR="003D003E" w:rsidRPr="00862128" w:rsidRDefault="00862128" w:rsidP="003D003E">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Tanto la superación de los límites legal</w:t>
      </w:r>
      <w:r w:rsidRPr="00862128">
        <w:rPr>
          <w:rFonts w:ascii="Times New Roman" w:hAnsi="Times New Roman"/>
          <w:sz w:val="28"/>
          <w:szCs w:val="28"/>
        </w:rPr>
        <w:t xml:space="preserve">es de interés como las asimetrías en términos de información, argumenta el demandante, generan barreras frente al acceso al crédito y lo hacen más oneroso. </w:t>
      </w:r>
    </w:p>
    <w:p w:rsidR="003D003E" w:rsidRPr="00862128" w:rsidRDefault="00862128" w:rsidP="003D003E">
      <w:pPr>
        <w:tabs>
          <w:tab w:val="left" w:pos="567"/>
        </w:tabs>
        <w:jc w:val="both"/>
        <w:rPr>
          <w:rFonts w:ascii="Times New Roman" w:hAnsi="Times New Roman"/>
          <w:sz w:val="28"/>
          <w:szCs w:val="28"/>
        </w:rPr>
      </w:pPr>
    </w:p>
    <w:p w:rsidR="003D003E" w:rsidRPr="00862128" w:rsidRDefault="00862128" w:rsidP="003D003E">
      <w:pPr>
        <w:pStyle w:val="p1"/>
        <w:jc w:val="both"/>
        <w:rPr>
          <w:rFonts w:ascii="Times New Roman" w:hAnsi="Times New Roman"/>
          <w:b/>
          <w:bCs/>
          <w:i/>
          <w:iCs/>
          <w:sz w:val="28"/>
          <w:szCs w:val="28"/>
        </w:rPr>
      </w:pPr>
      <w:r w:rsidRPr="00862128">
        <w:rPr>
          <w:rFonts w:ascii="Times New Roman" w:hAnsi="Times New Roman"/>
          <w:b/>
          <w:bCs/>
          <w:i/>
          <w:iCs/>
          <w:sz w:val="28"/>
          <w:szCs w:val="28"/>
        </w:rPr>
        <w:t>Violación</w:t>
      </w:r>
      <w:r w:rsidRPr="00862128">
        <w:rPr>
          <w:rFonts w:ascii="Times New Roman" w:hAnsi="Times New Roman"/>
          <w:b/>
          <w:bCs/>
          <w:i/>
          <w:iCs/>
          <w:sz w:val="28"/>
          <w:szCs w:val="28"/>
        </w:rPr>
        <w:t xml:space="preserve"> de la</w:t>
      </w:r>
      <w:r w:rsidRPr="00862128">
        <w:rPr>
          <w:rFonts w:ascii="Times New Roman" w:hAnsi="Times New Roman"/>
          <w:b/>
          <w:bCs/>
          <w:i/>
          <w:iCs/>
          <w:sz w:val="28"/>
          <w:szCs w:val="28"/>
        </w:rPr>
        <w:t xml:space="preserve"> libertad de empresa</w:t>
      </w:r>
    </w:p>
    <w:p w:rsidR="003D003E" w:rsidRPr="00862128" w:rsidRDefault="00862128" w:rsidP="003D003E">
      <w:pPr>
        <w:tabs>
          <w:tab w:val="left" w:pos="567"/>
        </w:tabs>
        <w:jc w:val="both"/>
        <w:rPr>
          <w:rFonts w:ascii="Times New Roman" w:hAnsi="Times New Roman"/>
          <w:sz w:val="28"/>
          <w:szCs w:val="28"/>
        </w:rPr>
      </w:pPr>
    </w:p>
    <w:p w:rsidR="00530A66" w:rsidRPr="00862128" w:rsidRDefault="00862128" w:rsidP="00530A66">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Para el demandante, la norma demandada genera una asimetría r</w:t>
      </w:r>
      <w:r w:rsidRPr="00862128">
        <w:rPr>
          <w:rFonts w:ascii="Times New Roman" w:hAnsi="Times New Roman"/>
          <w:sz w:val="28"/>
          <w:szCs w:val="28"/>
        </w:rPr>
        <w:t>egulatoria que otorga una ventaja competitiva artificial a las entidades no vigiladas, ya que al no tener que incluir la firma electrónica en el cálculo de la tasa de interés, estas entidades pueden anunciar tasas nominalmente más bajas, aunque el costo to</w:t>
      </w:r>
      <w:r w:rsidRPr="00862128">
        <w:rPr>
          <w:rFonts w:ascii="Times New Roman" w:hAnsi="Times New Roman"/>
          <w:sz w:val="28"/>
          <w:szCs w:val="28"/>
        </w:rPr>
        <w:t xml:space="preserve">tal para el consumidor sea el mismo o incluso superior. En término del demandante: </w:t>
      </w:r>
    </w:p>
    <w:p w:rsidR="00530A66" w:rsidRPr="00862128" w:rsidRDefault="00862128" w:rsidP="00530A66">
      <w:pPr>
        <w:tabs>
          <w:tab w:val="left" w:pos="567"/>
        </w:tabs>
        <w:jc w:val="both"/>
        <w:rPr>
          <w:rFonts w:ascii="Times New Roman" w:hAnsi="Times New Roman"/>
          <w:sz w:val="28"/>
          <w:szCs w:val="28"/>
        </w:rPr>
      </w:pPr>
    </w:p>
    <w:p w:rsidR="00530A66" w:rsidRPr="00862128" w:rsidRDefault="00862128" w:rsidP="00530A66">
      <w:pPr>
        <w:pStyle w:val="p1"/>
        <w:ind w:left="720"/>
        <w:jc w:val="both"/>
        <w:rPr>
          <w:rFonts w:ascii="Times New Roman" w:hAnsi="Times New Roman"/>
          <w:sz w:val="28"/>
          <w:szCs w:val="28"/>
        </w:rPr>
      </w:pPr>
      <w:r w:rsidRPr="00862128">
        <w:rPr>
          <w:rFonts w:ascii="Times New Roman" w:hAnsi="Times New Roman"/>
          <w:sz w:val="28"/>
          <w:szCs w:val="28"/>
        </w:rPr>
        <w:t>“Ese tratamiento diferente consiste en que la norma demanda excluyó del cómputo de intereses para estas operaciones de crédito realizadas por sujetos cuya vigilancia no ha</w:t>
      </w:r>
      <w:r w:rsidRPr="00862128">
        <w:rPr>
          <w:rFonts w:ascii="Times New Roman" w:hAnsi="Times New Roman"/>
          <w:sz w:val="28"/>
          <w:szCs w:val="28"/>
        </w:rPr>
        <w:t xml:space="preserve"> sido asignada a alguna autoridad administrativa en particular, conceptos que, bajo el régimen general, se consideraban incluidos, como la firma electrónica. Así las cosas, </w:t>
      </w:r>
      <w:r w:rsidRPr="00862128">
        <w:rPr>
          <w:rFonts w:ascii="Times New Roman" w:hAnsi="Times New Roman"/>
          <w:sz w:val="28"/>
          <w:szCs w:val="28"/>
        </w:rPr>
        <w:t xml:space="preserve">la </w:t>
      </w:r>
      <w:r w:rsidRPr="00862128">
        <w:rPr>
          <w:rFonts w:ascii="Times New Roman" w:hAnsi="Times New Roman"/>
          <w:sz w:val="28"/>
          <w:szCs w:val="28"/>
        </w:rPr>
        <w:t>modificación legislativa introducida por la norma demanda crea un régimen difere</w:t>
      </w:r>
      <w:r w:rsidRPr="00862128">
        <w:rPr>
          <w:rFonts w:ascii="Times New Roman" w:hAnsi="Times New Roman"/>
          <w:sz w:val="28"/>
          <w:szCs w:val="28"/>
        </w:rPr>
        <w:t>nciado en el que las entidades vigiladas por la Superintendencia Financiera deben seguir computando como intereses conceptos que las entidades no vigiladas pueden ahora cobrar de manera adicional y separada, como sucede con la firma electrónica.”</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100"/>
      </w:r>
    </w:p>
    <w:p w:rsidR="003D003E" w:rsidRPr="00862128" w:rsidRDefault="00862128" w:rsidP="00530A66">
      <w:pPr>
        <w:rPr>
          <w:rFonts w:ascii="Times New Roman" w:hAnsi="Times New Roman"/>
          <w:sz w:val="28"/>
          <w:szCs w:val="28"/>
        </w:rPr>
      </w:pPr>
    </w:p>
    <w:p w:rsidR="001A7EA7" w:rsidRPr="00862128" w:rsidRDefault="00862128" w:rsidP="003D003E">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Lo anterior, según el demandante </w:t>
      </w:r>
      <w:r w:rsidRPr="00862128">
        <w:rPr>
          <w:rFonts w:ascii="Times New Roman" w:hAnsi="Times New Roman"/>
          <w:sz w:val="28"/>
          <w:szCs w:val="28"/>
        </w:rPr>
        <w:t>“</w:t>
      </w:r>
      <w:r w:rsidRPr="00862128">
        <w:rPr>
          <w:rFonts w:ascii="Times New Roman" w:hAnsi="Times New Roman"/>
          <w:sz w:val="28"/>
          <w:szCs w:val="28"/>
        </w:rPr>
        <w:t xml:space="preserve">(…) </w:t>
      </w:r>
      <w:r w:rsidRPr="00862128">
        <w:rPr>
          <w:rFonts w:ascii="Times New Roman" w:hAnsi="Times New Roman"/>
          <w:sz w:val="28"/>
          <w:szCs w:val="28"/>
        </w:rPr>
        <w:t>vulnera el núcleo esencial de la libertad de empresa y libre competencia garantizada por la Constitución. El artículo 333 de la Constitución garantiza la libertad de empresa y la libre competencia económica. La Corte C</w:t>
      </w:r>
      <w:r w:rsidRPr="00862128">
        <w:rPr>
          <w:rFonts w:ascii="Times New Roman" w:hAnsi="Times New Roman"/>
          <w:sz w:val="28"/>
          <w:szCs w:val="28"/>
        </w:rPr>
        <w:t>onstitucional ha precisado que el núcleo esencial de la libertad de empresa comprende "el derecho a un tratamiento igual y no discriminatorio entre empresarios o competidores que se hallan en la misma posición" (Sentencia C-264 de 2013)</w:t>
      </w:r>
      <w:r w:rsidRPr="00862128">
        <w:rPr>
          <w:rFonts w:ascii="Times New Roman" w:hAnsi="Times New Roman"/>
          <w:sz w:val="28"/>
          <w:szCs w:val="28"/>
        </w:rPr>
        <w:t>”</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101"/>
      </w:r>
    </w:p>
    <w:p w:rsidR="0031415B" w:rsidRPr="00862128" w:rsidRDefault="00862128" w:rsidP="009A53B1">
      <w:pPr>
        <w:pStyle w:val="p1"/>
        <w:jc w:val="both"/>
        <w:rPr>
          <w:rFonts w:ascii="Times New Roman" w:hAnsi="Times New Roman"/>
          <w:sz w:val="28"/>
          <w:szCs w:val="28"/>
        </w:rPr>
      </w:pPr>
    </w:p>
    <w:p w:rsidR="000516A7" w:rsidRPr="00862128" w:rsidRDefault="00862128" w:rsidP="003664DF">
      <w:pPr>
        <w:rPr>
          <w:rFonts w:ascii="Times New Roman" w:hAnsi="Times New Roman"/>
          <w:b/>
          <w:bCs/>
          <w:i/>
          <w:iCs/>
          <w:sz w:val="28"/>
        </w:rPr>
      </w:pPr>
      <w:r w:rsidRPr="00862128">
        <w:rPr>
          <w:rFonts w:ascii="Times New Roman" w:hAnsi="Times New Roman"/>
          <w:b/>
          <w:bCs/>
          <w:i/>
          <w:iCs/>
          <w:sz w:val="28"/>
          <w:szCs w:val="28"/>
        </w:rPr>
        <w:t xml:space="preserve">Los cargos por </w:t>
      </w:r>
      <w:r w:rsidRPr="00862128">
        <w:rPr>
          <w:rFonts w:ascii="Times New Roman" w:hAnsi="Times New Roman"/>
          <w:b/>
          <w:bCs/>
          <w:i/>
          <w:iCs/>
          <w:sz w:val="28"/>
          <w:szCs w:val="28"/>
        </w:rPr>
        <w:t>violación de los derechos del consumidor y de la libertad de empresa carecen de certeza</w:t>
      </w:r>
      <w:r w:rsidRPr="00862128">
        <w:rPr>
          <w:rFonts w:ascii="Times New Roman" w:hAnsi="Times New Roman"/>
          <w:b/>
          <w:bCs/>
          <w:i/>
          <w:iCs/>
          <w:sz w:val="28"/>
          <w:szCs w:val="28"/>
        </w:rPr>
        <w:t>,</w:t>
      </w:r>
      <w:r w:rsidRPr="00862128">
        <w:rPr>
          <w:rFonts w:ascii="Times New Roman" w:hAnsi="Times New Roman"/>
          <w:b/>
          <w:bCs/>
          <w:i/>
          <w:iCs/>
          <w:sz w:val="28"/>
          <w:szCs w:val="28"/>
        </w:rPr>
        <w:t xml:space="preserve"> especificidad</w:t>
      </w:r>
      <w:r w:rsidRPr="00862128">
        <w:rPr>
          <w:rFonts w:ascii="Times New Roman" w:hAnsi="Times New Roman"/>
          <w:b/>
          <w:bCs/>
          <w:i/>
          <w:iCs/>
          <w:sz w:val="28"/>
          <w:szCs w:val="28"/>
        </w:rPr>
        <w:t>, pertinencia y suficiencia</w:t>
      </w:r>
    </w:p>
    <w:p w:rsidR="00486062" w:rsidRPr="00862128" w:rsidRDefault="00862128" w:rsidP="009A53B1">
      <w:pPr>
        <w:tabs>
          <w:tab w:val="left" w:pos="567"/>
        </w:tabs>
        <w:jc w:val="both"/>
        <w:rPr>
          <w:rFonts w:ascii="Times New Roman" w:hAnsi="Times New Roman"/>
          <w:sz w:val="28"/>
          <w:szCs w:val="28"/>
        </w:rPr>
      </w:pPr>
    </w:p>
    <w:p w:rsidR="00486062" w:rsidRPr="00862128" w:rsidRDefault="00862128" w:rsidP="000516A7">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La demanda no cumple los requisitos de certeza</w:t>
      </w: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especificidad</w:t>
      </w:r>
      <w:r w:rsidRPr="00862128">
        <w:rPr>
          <w:rFonts w:ascii="Times New Roman" w:hAnsi="Times New Roman"/>
          <w:sz w:val="28"/>
          <w:szCs w:val="28"/>
          <w:lang w:val="es-ES_tradnl"/>
        </w:rPr>
        <w:t xml:space="preserve">, pertinencia y </w:t>
      </w:r>
      <w:r w:rsidRPr="00862128">
        <w:rPr>
          <w:rFonts w:ascii="Times New Roman" w:hAnsi="Times New Roman"/>
          <w:sz w:val="28"/>
          <w:szCs w:val="28"/>
          <w:lang w:val="es-ES_tradnl"/>
        </w:rPr>
        <w:t>suficiencia por</w:t>
      </w:r>
      <w:r w:rsidRPr="00862128">
        <w:rPr>
          <w:rFonts w:ascii="Times New Roman" w:hAnsi="Times New Roman"/>
          <w:sz w:val="28"/>
          <w:szCs w:val="28"/>
          <w:lang w:val="es-ES_tradnl"/>
        </w:rPr>
        <w:t xml:space="preserve"> las siguientes razones:</w:t>
      </w:r>
    </w:p>
    <w:p w:rsidR="00486062" w:rsidRPr="00862128" w:rsidRDefault="00862128" w:rsidP="00486062">
      <w:pPr>
        <w:pStyle w:val="Prrafodelista"/>
        <w:tabs>
          <w:tab w:val="left" w:pos="567"/>
        </w:tabs>
        <w:ind w:left="0"/>
        <w:jc w:val="both"/>
        <w:rPr>
          <w:rFonts w:ascii="Times New Roman" w:hAnsi="Times New Roman"/>
          <w:sz w:val="28"/>
          <w:szCs w:val="28"/>
          <w:lang w:val="es-ES_tradnl"/>
        </w:rPr>
      </w:pPr>
    </w:p>
    <w:p w:rsidR="00486062" w:rsidRPr="00862128" w:rsidRDefault="00862128" w:rsidP="00486062">
      <w:pPr>
        <w:pStyle w:val="Prrafodelista"/>
        <w:tabs>
          <w:tab w:val="left" w:pos="567"/>
        </w:tabs>
        <w:ind w:left="0"/>
        <w:jc w:val="both"/>
        <w:rPr>
          <w:rFonts w:ascii="Times New Roman" w:hAnsi="Times New Roman"/>
          <w:b/>
          <w:bCs/>
          <w:i/>
          <w:iCs/>
          <w:color w:val="000000"/>
          <w:sz w:val="28"/>
          <w:szCs w:val="28"/>
          <w:lang w:val="es-ES_tradnl"/>
        </w:rPr>
      </w:pPr>
      <w:r w:rsidRPr="00862128">
        <w:rPr>
          <w:rFonts w:ascii="Times New Roman" w:hAnsi="Times New Roman"/>
          <w:b/>
          <w:bCs/>
          <w:i/>
          <w:iCs/>
          <w:color w:val="000000"/>
          <w:sz w:val="28"/>
          <w:szCs w:val="28"/>
          <w:lang w:val="es-ES_tradnl"/>
        </w:rPr>
        <w:t>Certeza</w:t>
      </w:r>
    </w:p>
    <w:p w:rsidR="00486062" w:rsidRPr="00862128" w:rsidRDefault="00862128" w:rsidP="00486062">
      <w:pPr>
        <w:pStyle w:val="Prrafodelista"/>
        <w:tabs>
          <w:tab w:val="left" w:pos="567"/>
        </w:tabs>
        <w:ind w:left="0"/>
        <w:jc w:val="both"/>
        <w:rPr>
          <w:rFonts w:ascii="Times New Roman" w:hAnsi="Times New Roman"/>
          <w:sz w:val="28"/>
          <w:szCs w:val="28"/>
          <w:lang w:val="es-ES_tradnl"/>
        </w:rPr>
      </w:pPr>
    </w:p>
    <w:p w:rsidR="00486062" w:rsidRPr="00862128" w:rsidRDefault="00862128" w:rsidP="00486062">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Como se ha señalado, el requisito de certeza significa que la acusación recaiga directamente sobre el contenido de la disposición demandada y no sobre una proposición jurídica inferida o deducida por el actor e incluso sobre otras normas vigentes que, en</w:t>
      </w:r>
      <w:r w:rsidRPr="00862128">
        <w:rPr>
          <w:rFonts w:ascii="Times New Roman" w:hAnsi="Times New Roman"/>
          <w:sz w:val="28"/>
          <w:szCs w:val="28"/>
          <w:lang w:val="es-ES_tradnl"/>
        </w:rPr>
        <w:t xml:space="preserve"> todo caso, no son el objeto concreto de la demanda. </w:t>
      </w:r>
      <w:r w:rsidRPr="00862128">
        <w:rPr>
          <w:rFonts w:ascii="Times New Roman" w:hAnsi="Times New Roman"/>
          <w:sz w:val="28"/>
          <w:szCs w:val="28"/>
          <w:lang w:val="es-ES_tradnl"/>
        </w:rPr>
        <w:t xml:space="preserve"> Se requiere que los cargos tengan por objeto un enunciado normativo perteneciente al ordenamiento jurídico e ir dirigidos a impugnar la disposición señalada en la demanda. La norma demandada debe ser susceptible de inferirse del enunciado acusado y no ser</w:t>
      </w:r>
      <w:r w:rsidRPr="00862128">
        <w:rPr>
          <w:rFonts w:ascii="Times New Roman" w:hAnsi="Times New Roman"/>
          <w:sz w:val="28"/>
          <w:szCs w:val="28"/>
          <w:lang w:val="es-ES_tradnl"/>
        </w:rPr>
        <w:t xml:space="preserve"> fruto de una construcción exclusivamente subjetiva, con base en presunciones, conjeturas o sospechas del actor.</w:t>
      </w:r>
    </w:p>
    <w:p w:rsidR="000516A7" w:rsidRPr="00862128" w:rsidRDefault="00862128" w:rsidP="000516A7">
      <w:pPr>
        <w:jc w:val="both"/>
        <w:rPr>
          <w:rFonts w:ascii="Times New Roman" w:hAnsi="Times New Roman"/>
          <w:sz w:val="28"/>
          <w:szCs w:val="28"/>
          <w:lang w:val="es-ES_tradnl"/>
        </w:rPr>
      </w:pPr>
    </w:p>
    <w:p w:rsidR="000516A7" w:rsidRPr="00862128" w:rsidRDefault="00862128" w:rsidP="000516A7">
      <w:pPr>
        <w:pStyle w:val="Prrafodelista"/>
        <w:numPr>
          <w:ilvl w:val="0"/>
          <w:numId w:val="4"/>
        </w:numPr>
        <w:tabs>
          <w:tab w:val="left" w:pos="567"/>
        </w:tabs>
        <w:ind w:left="0" w:hanging="11"/>
        <w:jc w:val="both"/>
        <w:rPr>
          <w:rFonts w:ascii="Times New Roman" w:hAnsi="Times New Roman"/>
          <w:sz w:val="28"/>
          <w:szCs w:val="28"/>
          <w:lang w:val="es-ES_tradnl"/>
        </w:rPr>
      </w:pPr>
      <w:r w:rsidRPr="00862128">
        <w:rPr>
          <w:rFonts w:ascii="Times New Roman" w:hAnsi="Times New Roman"/>
          <w:sz w:val="28"/>
          <w:szCs w:val="28"/>
          <w:lang w:val="es-ES_tradnl"/>
        </w:rPr>
        <w:t>El demandante no presentó razones ciertas, pues su argumentación partió de una conclusión inferida por él que no se desprende de la norma dema</w:t>
      </w:r>
      <w:r w:rsidRPr="00862128">
        <w:rPr>
          <w:rFonts w:ascii="Times New Roman" w:hAnsi="Times New Roman"/>
          <w:sz w:val="28"/>
          <w:szCs w:val="28"/>
          <w:lang w:val="es-ES_tradnl"/>
        </w:rPr>
        <w:t>ndada sino de su interpretación de</w:t>
      </w:r>
      <w:r w:rsidRPr="00862128">
        <w:rPr>
          <w:rFonts w:ascii="Times New Roman" w:hAnsi="Times New Roman"/>
          <w:sz w:val="28"/>
          <w:szCs w:val="28"/>
          <w:lang w:val="es-ES_tradnl"/>
        </w:rPr>
        <w:t>l artículo 68 de la Ley 45 de 1990</w:t>
      </w:r>
      <w:r w:rsidRPr="00862128">
        <w:rPr>
          <w:rFonts w:ascii="Times New Roman" w:hAnsi="Times New Roman"/>
          <w:sz w:val="28"/>
          <w:szCs w:val="28"/>
          <w:lang w:val="es-ES_tradnl"/>
        </w:rPr>
        <w:t xml:space="preserve"> que utiliza como referencia para cuestionar la constitucionalidad de la expresión “firma electrónica” contenida en el </w:t>
      </w:r>
      <w:r w:rsidRPr="00862128">
        <w:rPr>
          <w:rFonts w:ascii="Times New Roman" w:hAnsi="Times New Roman"/>
          <w:sz w:val="28"/>
          <w:szCs w:val="28"/>
          <w:lang w:val="es-ES_tradnl"/>
        </w:rPr>
        <w:t>parágrafo 3 del artículo 45 de la Ley 1480 de 2011 (incorporado por e</w:t>
      </w:r>
      <w:r w:rsidRPr="00862128">
        <w:rPr>
          <w:rFonts w:ascii="Times New Roman" w:hAnsi="Times New Roman"/>
          <w:sz w:val="28"/>
          <w:szCs w:val="28"/>
          <w:lang w:val="es-ES_tradnl"/>
        </w:rPr>
        <w:t xml:space="preserve">l artículo </w:t>
      </w:r>
      <w:r w:rsidRPr="00862128">
        <w:rPr>
          <w:rFonts w:ascii="Times New Roman" w:hAnsi="Times New Roman"/>
          <w:sz w:val="28"/>
          <w:szCs w:val="28"/>
          <w:lang w:val="es-ES_tradnl"/>
        </w:rPr>
        <w:t>7 de la Ley 2439 de 2024</w:t>
      </w:r>
      <w:r w:rsidRPr="00862128">
        <w:rPr>
          <w:rFonts w:ascii="Times New Roman" w:hAnsi="Times New Roman"/>
          <w:sz w:val="28"/>
          <w:szCs w:val="28"/>
          <w:lang w:val="es-ES_tradnl"/>
        </w:rPr>
        <w:t>)</w:t>
      </w:r>
      <w:r w:rsidRPr="00862128">
        <w:rPr>
          <w:rFonts w:ascii="Times New Roman" w:hAnsi="Times New Roman"/>
          <w:sz w:val="28"/>
          <w:szCs w:val="28"/>
          <w:lang w:val="es-ES_tradnl"/>
        </w:rPr>
        <w:t>.  E</w:t>
      </w:r>
      <w:r w:rsidRPr="00862128">
        <w:rPr>
          <w:rFonts w:ascii="Times New Roman" w:hAnsi="Times New Roman"/>
          <w:sz w:val="28"/>
          <w:szCs w:val="28"/>
          <w:lang w:val="es-ES_tradnl"/>
        </w:rPr>
        <w:t xml:space="preserve">l demandante estima que </w:t>
      </w:r>
      <w:r w:rsidRPr="00862128">
        <w:rPr>
          <w:rFonts w:ascii="Times New Roman" w:hAnsi="Times New Roman"/>
          <w:sz w:val="28"/>
          <w:szCs w:val="28"/>
          <w:lang w:val="es-ES_tradnl"/>
        </w:rPr>
        <w:t>el artículo 68 de la Ley 45 de 1990</w:t>
      </w:r>
      <w:r w:rsidRPr="00862128">
        <w:rPr>
          <w:rFonts w:ascii="Times New Roman" w:hAnsi="Times New Roman"/>
          <w:sz w:val="28"/>
          <w:szCs w:val="28"/>
          <w:lang w:val="es-ES_tradnl"/>
        </w:rPr>
        <w:t xml:space="preserve"> da a entender que la “firma electrónica” hace parte de los costos que integran el concepto de intereses, pero, como se explicó, ello no es un mandato legal </w:t>
      </w:r>
      <w:r w:rsidRPr="00862128">
        <w:rPr>
          <w:rFonts w:ascii="Times New Roman" w:hAnsi="Times New Roman"/>
          <w:sz w:val="28"/>
          <w:szCs w:val="28"/>
          <w:lang w:val="es-ES_tradnl"/>
        </w:rPr>
        <w:t xml:space="preserve">expreso sino una opinión del accionante. </w:t>
      </w:r>
    </w:p>
    <w:p w:rsidR="00750770" w:rsidRPr="00862128" w:rsidRDefault="00862128" w:rsidP="00507CA3">
      <w:pPr>
        <w:rPr>
          <w:rFonts w:ascii="Times New Roman" w:hAnsi="Times New Roman"/>
          <w:sz w:val="28"/>
          <w:szCs w:val="28"/>
        </w:rPr>
      </w:pPr>
    </w:p>
    <w:p w:rsidR="00486062" w:rsidRPr="00862128" w:rsidRDefault="00862128" w:rsidP="00486062">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 partir de lo anterior</w:t>
      </w:r>
      <w:r w:rsidRPr="00862128">
        <w:rPr>
          <w:rFonts w:ascii="Times New Roman" w:hAnsi="Times New Roman"/>
          <w:sz w:val="28"/>
          <w:szCs w:val="28"/>
        </w:rPr>
        <w:t>,</w:t>
      </w:r>
      <w:r w:rsidRPr="00862128">
        <w:rPr>
          <w:rFonts w:ascii="Times New Roman" w:hAnsi="Times New Roman"/>
          <w:sz w:val="28"/>
          <w:szCs w:val="28"/>
        </w:rPr>
        <w:t xml:space="preserve"> el demandante plantea que el parágrafo 3 del artículo 45 de la Ley 1480 de 2011</w:t>
      </w:r>
      <w:r w:rsidRPr="00862128">
        <w:rPr>
          <w:rFonts w:ascii="Times New Roman" w:hAnsi="Times New Roman"/>
          <w:sz w:val="28"/>
          <w:szCs w:val="28"/>
        </w:rPr>
        <w:t xml:space="preserve"> </w:t>
      </w:r>
      <w:r w:rsidRPr="00862128">
        <w:rPr>
          <w:rFonts w:ascii="Times New Roman" w:hAnsi="Times New Roman"/>
          <w:sz w:val="28"/>
          <w:szCs w:val="28"/>
        </w:rPr>
        <w:t xml:space="preserve">vulnera los artículos 13, 78 y 333 de la Constitución. </w:t>
      </w:r>
      <w:r w:rsidRPr="00862128">
        <w:rPr>
          <w:rFonts w:ascii="Times New Roman" w:hAnsi="Times New Roman"/>
          <w:sz w:val="28"/>
          <w:szCs w:val="28"/>
        </w:rPr>
        <w:t xml:space="preserve">Esta situación genera una evidente incertidumbre, ya </w:t>
      </w:r>
      <w:r w:rsidRPr="00862128">
        <w:rPr>
          <w:rFonts w:ascii="Times New Roman" w:hAnsi="Times New Roman"/>
          <w:sz w:val="28"/>
          <w:szCs w:val="28"/>
        </w:rPr>
        <w:t xml:space="preserve">que la fundamentación de la demanda </w:t>
      </w:r>
      <w:r w:rsidRPr="00862128">
        <w:rPr>
          <w:rFonts w:ascii="Times New Roman" w:hAnsi="Times New Roman"/>
          <w:sz w:val="28"/>
          <w:szCs w:val="28"/>
        </w:rPr>
        <w:t>sobre protección del consumidor y la libertad de empresa</w:t>
      </w:r>
      <w:r w:rsidRPr="00862128">
        <w:rPr>
          <w:rStyle w:val="Refdenotaalpie"/>
          <w:rFonts w:ascii="Times New Roman" w:hAnsi="Times New Roman"/>
          <w:sz w:val="28"/>
          <w:szCs w:val="28"/>
        </w:rPr>
        <w:footnoteReference w:id="102"/>
      </w:r>
      <w:r w:rsidRPr="00862128">
        <w:rPr>
          <w:rFonts w:ascii="Times New Roman" w:hAnsi="Times New Roman"/>
          <w:sz w:val="28"/>
          <w:szCs w:val="28"/>
        </w:rPr>
        <w:t xml:space="preserve"> </w:t>
      </w:r>
      <w:r w:rsidRPr="00862128">
        <w:rPr>
          <w:rFonts w:ascii="Times New Roman" w:hAnsi="Times New Roman"/>
          <w:sz w:val="28"/>
          <w:szCs w:val="28"/>
        </w:rPr>
        <w:t xml:space="preserve">se basa en una interpretación subjetiva, en lugar de hechos o normas establecidas de manera indiscutible. Esa valoración personal del accionante le resta certeza </w:t>
      </w:r>
      <w:r w:rsidRPr="00862128">
        <w:rPr>
          <w:rFonts w:ascii="Times New Roman" w:hAnsi="Times New Roman"/>
          <w:sz w:val="28"/>
          <w:szCs w:val="28"/>
        </w:rPr>
        <w:t>a la demanda.</w:t>
      </w:r>
    </w:p>
    <w:p w:rsidR="005E48DA" w:rsidRPr="00862128" w:rsidRDefault="00862128" w:rsidP="003664DF">
      <w:pPr>
        <w:rPr>
          <w:rFonts w:ascii="Times New Roman" w:hAnsi="Times New Roman"/>
          <w:sz w:val="28"/>
          <w:szCs w:val="28"/>
        </w:rPr>
      </w:pPr>
    </w:p>
    <w:p w:rsidR="00486062" w:rsidRPr="00862128" w:rsidRDefault="00862128" w:rsidP="00C66A7D">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En suma, la demanda no cumple con el requisito de certeza porque no se basa en una interpretación objetiva y directa de la norma cuestionada. En lugar de presentar argumentos </w:t>
      </w:r>
      <w:r w:rsidRPr="00862128">
        <w:rPr>
          <w:rFonts w:ascii="Times New Roman" w:hAnsi="Times New Roman"/>
          <w:sz w:val="28"/>
          <w:szCs w:val="28"/>
        </w:rPr>
        <w:t>incontrovertibles</w:t>
      </w:r>
      <w:r w:rsidRPr="00862128">
        <w:rPr>
          <w:rFonts w:ascii="Times New Roman" w:hAnsi="Times New Roman"/>
          <w:sz w:val="28"/>
          <w:szCs w:val="28"/>
        </w:rPr>
        <w:t>, el demandante construye su acusación a partir d</w:t>
      </w:r>
      <w:r w:rsidRPr="00862128">
        <w:rPr>
          <w:rFonts w:ascii="Times New Roman" w:hAnsi="Times New Roman"/>
          <w:sz w:val="28"/>
          <w:szCs w:val="28"/>
        </w:rPr>
        <w:t xml:space="preserve">e su interpretación personal y subjetiva de otra norma (el artículo 68 de la Ley 45 de 1990), lo que genera una incertidumbre evidente sobre los supuestos en que estructura su argumentación. </w:t>
      </w:r>
    </w:p>
    <w:p w:rsidR="005E48DA" w:rsidRPr="00862128" w:rsidRDefault="00862128" w:rsidP="005E48DA">
      <w:pPr>
        <w:pStyle w:val="Prrafodelista"/>
        <w:tabs>
          <w:tab w:val="left" w:pos="567"/>
        </w:tabs>
        <w:ind w:left="0"/>
        <w:jc w:val="both"/>
        <w:rPr>
          <w:rFonts w:ascii="Times New Roman" w:hAnsi="Times New Roman"/>
          <w:sz w:val="28"/>
          <w:szCs w:val="28"/>
        </w:rPr>
      </w:pPr>
    </w:p>
    <w:p w:rsidR="00486062" w:rsidRPr="00862128" w:rsidRDefault="00862128" w:rsidP="00486062">
      <w:pPr>
        <w:rPr>
          <w:rFonts w:ascii="Times New Roman" w:hAnsi="Times New Roman"/>
          <w:b/>
          <w:bCs/>
          <w:i/>
          <w:iCs/>
          <w:color w:val="000000"/>
          <w:sz w:val="28"/>
          <w:szCs w:val="28"/>
        </w:rPr>
      </w:pPr>
      <w:r w:rsidRPr="00862128">
        <w:rPr>
          <w:rFonts w:ascii="Times New Roman" w:hAnsi="Times New Roman"/>
          <w:b/>
          <w:bCs/>
          <w:i/>
          <w:iCs/>
          <w:color w:val="000000"/>
          <w:sz w:val="28"/>
          <w:szCs w:val="28"/>
        </w:rPr>
        <w:t>Especificidad</w:t>
      </w:r>
    </w:p>
    <w:p w:rsidR="00486062" w:rsidRPr="00862128" w:rsidRDefault="00862128" w:rsidP="00486062">
      <w:pPr>
        <w:pStyle w:val="Prrafodelista"/>
        <w:tabs>
          <w:tab w:val="left" w:pos="567"/>
        </w:tabs>
        <w:ind w:left="0"/>
        <w:jc w:val="both"/>
        <w:rPr>
          <w:rFonts w:ascii="Times New Roman" w:hAnsi="Times New Roman"/>
          <w:sz w:val="28"/>
          <w:szCs w:val="28"/>
        </w:rPr>
      </w:pPr>
    </w:p>
    <w:p w:rsidR="00B05B0D" w:rsidRPr="00862128" w:rsidRDefault="00862128" w:rsidP="00B05B0D">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lang w:val="es-ES_tradnl"/>
        </w:rPr>
        <w:t xml:space="preserve">El requisito de </w:t>
      </w:r>
      <w:r w:rsidRPr="00862128">
        <w:rPr>
          <w:rFonts w:ascii="Times New Roman" w:hAnsi="Times New Roman"/>
          <w:sz w:val="28"/>
          <w:szCs w:val="28"/>
          <w:lang w:val="es-ES_tradnl"/>
        </w:rPr>
        <w:t>especifi</w:t>
      </w:r>
      <w:r w:rsidRPr="00862128">
        <w:rPr>
          <w:rFonts w:ascii="Times New Roman" w:hAnsi="Times New Roman"/>
          <w:sz w:val="28"/>
          <w:szCs w:val="28"/>
          <w:lang w:val="es-ES_tradnl"/>
        </w:rPr>
        <w:t>cid</w:t>
      </w:r>
      <w:r w:rsidRPr="00862128">
        <w:rPr>
          <w:rFonts w:ascii="Times New Roman" w:hAnsi="Times New Roman"/>
          <w:sz w:val="28"/>
          <w:szCs w:val="28"/>
          <w:lang w:val="es-ES_tradnl"/>
        </w:rPr>
        <w:t>ad</w:t>
      </w:r>
      <w:r w:rsidRPr="00862128">
        <w:rPr>
          <w:rFonts w:ascii="Times New Roman" w:hAnsi="Times New Roman"/>
          <w:sz w:val="28"/>
          <w:szCs w:val="28"/>
          <w:lang w:val="es-ES_tradnl"/>
        </w:rPr>
        <w:t xml:space="preserve"> exige que se demuestre la manera cómo la norma demandada vulnera la Constitución Política, mediante argumentos determinados, concretos, precisos y particulares sobre la norma en juicio.  Se debe establecer diáfanamente la manera como la norma demandada vu</w:t>
      </w:r>
      <w:r w:rsidRPr="00862128">
        <w:rPr>
          <w:rFonts w:ascii="Times New Roman" w:hAnsi="Times New Roman"/>
          <w:sz w:val="28"/>
          <w:szCs w:val="28"/>
          <w:lang w:val="es-ES_tradnl"/>
        </w:rPr>
        <w:t xml:space="preserve">lnera la Constitución. En otras palabras, se debe </w:t>
      </w:r>
      <w:r w:rsidRPr="00862128">
        <w:rPr>
          <w:rFonts w:ascii="Times New Roman" w:hAnsi="Times New Roman"/>
          <w:sz w:val="28"/>
          <w:szCs w:val="28"/>
          <w:lang w:val="es-ES_tradnl"/>
        </w:rPr>
        <w:t xml:space="preserve">determinar </w:t>
      </w:r>
      <w:r w:rsidRPr="00862128">
        <w:rPr>
          <w:rFonts w:ascii="Times New Roman" w:hAnsi="Times New Roman"/>
          <w:sz w:val="28"/>
          <w:szCs w:val="28"/>
          <w:lang w:val="es-ES_tradnl"/>
        </w:rPr>
        <w:t>si realmente existe una oposición objetiva</w:t>
      </w:r>
      <w:r w:rsidRPr="00862128">
        <w:rPr>
          <w:rFonts w:ascii="Times New Roman" w:hAnsi="Times New Roman"/>
          <w:sz w:val="28"/>
          <w:szCs w:val="28"/>
          <w:lang w:val="es-ES_tradnl"/>
        </w:rPr>
        <w:t>, directa</w:t>
      </w:r>
      <w:r w:rsidRPr="00862128">
        <w:rPr>
          <w:rFonts w:ascii="Times New Roman" w:hAnsi="Times New Roman"/>
          <w:sz w:val="28"/>
          <w:szCs w:val="28"/>
          <w:lang w:val="es-ES_tradnl"/>
        </w:rPr>
        <w:t xml:space="preserve"> y verificable entre el contenido de la expresión demandada (“firma electrónica”) y el texto de la Constitución Política</w:t>
      </w:r>
      <w:r w:rsidRPr="00862128">
        <w:rPr>
          <w:rFonts w:ascii="Times New Roman" w:hAnsi="Times New Roman"/>
          <w:sz w:val="28"/>
          <w:szCs w:val="28"/>
          <w:lang w:val="es-ES_tradnl"/>
        </w:rPr>
        <w:t>.</w:t>
      </w:r>
    </w:p>
    <w:p w:rsidR="00B05B0D" w:rsidRPr="00862128" w:rsidRDefault="00862128" w:rsidP="00B05B0D">
      <w:pPr>
        <w:pStyle w:val="Prrafodelista"/>
        <w:tabs>
          <w:tab w:val="left" w:pos="567"/>
        </w:tabs>
        <w:ind w:left="0"/>
        <w:jc w:val="both"/>
        <w:rPr>
          <w:rFonts w:ascii="Times New Roman" w:hAnsi="Times New Roman"/>
          <w:sz w:val="28"/>
          <w:szCs w:val="28"/>
          <w:lang w:val="es-ES_tradnl"/>
        </w:rPr>
      </w:pPr>
    </w:p>
    <w:p w:rsidR="00B64A43" w:rsidRPr="00862128" w:rsidRDefault="00862128" w:rsidP="00FE689C">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lang w:val="es-ES_tradnl"/>
        </w:rPr>
        <w:t xml:space="preserve"> </w:t>
      </w:r>
      <w:r w:rsidRPr="00862128">
        <w:rPr>
          <w:rFonts w:ascii="Times New Roman" w:hAnsi="Times New Roman"/>
          <w:sz w:val="28"/>
          <w:szCs w:val="28"/>
          <w:lang w:val="es-ES_tradnl"/>
        </w:rPr>
        <w:t>Sin embargo, el dema</w:t>
      </w:r>
      <w:r w:rsidRPr="00862128">
        <w:rPr>
          <w:rFonts w:ascii="Times New Roman" w:hAnsi="Times New Roman"/>
          <w:sz w:val="28"/>
          <w:szCs w:val="28"/>
          <w:lang w:val="es-ES_tradnl"/>
        </w:rPr>
        <w:t>ndante no presentó un argumento directo que comparara "firma electrónica" con la Constitución para probar que es inconstitucional. En lugar de eso, basó su demanda en una interpretación personal de otra ley, sin hacer una conexión clara y directa con los a</w:t>
      </w:r>
      <w:r w:rsidRPr="00862128">
        <w:rPr>
          <w:rFonts w:ascii="Times New Roman" w:hAnsi="Times New Roman"/>
          <w:sz w:val="28"/>
          <w:szCs w:val="28"/>
          <w:lang w:val="es-ES_tradnl"/>
        </w:rPr>
        <w:t>rtículos constitucionales presuntamente vulnerados.</w:t>
      </w:r>
    </w:p>
    <w:p w:rsidR="00B64A43" w:rsidRPr="00862128" w:rsidRDefault="00862128" w:rsidP="00B64A43">
      <w:pPr>
        <w:pStyle w:val="Prrafodelista"/>
        <w:rPr>
          <w:rFonts w:ascii="Times New Roman" w:hAnsi="Times New Roman"/>
          <w:sz w:val="28"/>
          <w:szCs w:val="28"/>
          <w:lang w:val="es-ES_tradnl"/>
        </w:rPr>
      </w:pPr>
    </w:p>
    <w:p w:rsidR="00B05B0D" w:rsidRPr="00862128" w:rsidRDefault="00862128" w:rsidP="00FE689C">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rPr>
        <w:t>L</w:t>
      </w:r>
      <w:r w:rsidRPr="00862128">
        <w:rPr>
          <w:rFonts w:ascii="Times New Roman" w:hAnsi="Times New Roman"/>
          <w:sz w:val="28"/>
          <w:szCs w:val="28"/>
        </w:rPr>
        <w:t>a construcción de la demanda partió de una premisa interpretativa del artículo 68</w:t>
      </w:r>
      <w:r w:rsidRPr="00862128">
        <w:rPr>
          <w:rFonts w:ascii="Times New Roman" w:hAnsi="Times New Roman"/>
          <w:sz w:val="28"/>
          <w:szCs w:val="28"/>
        </w:rPr>
        <w:t xml:space="preserve"> de la Ley 45 de 1990</w:t>
      </w:r>
      <w:r w:rsidRPr="00862128">
        <w:rPr>
          <w:rFonts w:ascii="Times New Roman" w:hAnsi="Times New Roman"/>
          <w:sz w:val="28"/>
          <w:szCs w:val="28"/>
        </w:rPr>
        <w:t xml:space="preserve"> que no se relaciona concreta y directamente con el parágrafo 3 del artículo 45 de la Ley 1480 de 20</w:t>
      </w:r>
      <w:r w:rsidRPr="00862128">
        <w:rPr>
          <w:rFonts w:ascii="Times New Roman" w:hAnsi="Times New Roman"/>
          <w:sz w:val="28"/>
          <w:szCs w:val="28"/>
        </w:rPr>
        <w:t>11.</w:t>
      </w:r>
      <w:r w:rsidRPr="00862128">
        <w:rPr>
          <w:rFonts w:ascii="Times New Roman" w:hAnsi="Times New Roman"/>
          <w:sz w:val="28"/>
          <w:szCs w:val="28"/>
        </w:rPr>
        <w:t xml:space="preserve"> En otras palabras, el demandante no utilizó argumentos de naturaleza constitucional, sino interpretaciones personales de leyes y circulares como punto de partida y eje central para fundamentar su demanda. </w:t>
      </w:r>
    </w:p>
    <w:p w:rsidR="001648A5" w:rsidRPr="00862128" w:rsidRDefault="00862128" w:rsidP="003664DF">
      <w:pPr>
        <w:pStyle w:val="Prrafodelista"/>
        <w:rPr>
          <w:rFonts w:ascii="Times New Roman" w:hAnsi="Times New Roman"/>
          <w:sz w:val="28"/>
          <w:szCs w:val="28"/>
          <w:lang w:val="es-ES_tradnl"/>
        </w:rPr>
      </w:pPr>
    </w:p>
    <w:p w:rsidR="001648A5" w:rsidRPr="00862128" w:rsidRDefault="00862128" w:rsidP="003664DF">
      <w:pPr>
        <w:rPr>
          <w:rFonts w:ascii="Times New Roman" w:hAnsi="Times New Roman"/>
          <w:b/>
          <w:bCs/>
          <w:i/>
          <w:iCs/>
          <w:sz w:val="28"/>
          <w:szCs w:val="28"/>
        </w:rPr>
      </w:pPr>
      <w:r w:rsidRPr="00862128">
        <w:rPr>
          <w:rFonts w:ascii="Times New Roman" w:hAnsi="Times New Roman"/>
          <w:b/>
          <w:bCs/>
          <w:i/>
          <w:iCs/>
          <w:sz w:val="28"/>
          <w:szCs w:val="28"/>
        </w:rPr>
        <w:t>Pertinencia</w:t>
      </w:r>
    </w:p>
    <w:p w:rsidR="001648A5" w:rsidRPr="00862128" w:rsidRDefault="00862128" w:rsidP="003664DF">
      <w:pPr>
        <w:pStyle w:val="Prrafodelista"/>
        <w:rPr>
          <w:rFonts w:ascii="Times New Roman" w:hAnsi="Times New Roman"/>
          <w:sz w:val="28"/>
          <w:szCs w:val="28"/>
          <w:lang w:val="es-ES_tradnl"/>
        </w:rPr>
      </w:pPr>
    </w:p>
    <w:p w:rsidR="00C003BE"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Según el requisito de </w:t>
      </w:r>
      <w:r w:rsidRPr="00862128">
        <w:rPr>
          <w:rFonts w:ascii="Times New Roman" w:hAnsi="Times New Roman"/>
          <w:sz w:val="28"/>
          <w:szCs w:val="28"/>
        </w:rPr>
        <w:t>pertinencia, “es indispensable que los razonamientos sean del orden constitucional, razón por la cual no podrán ser aceptados cargos basados en argumentos legales o doctrinarios.   De igual manera, no aparejan pertinencia aquellos cargos que pretenden sust</w:t>
      </w:r>
      <w:r w:rsidRPr="00862128">
        <w:rPr>
          <w:rFonts w:ascii="Times New Roman" w:hAnsi="Times New Roman"/>
          <w:sz w:val="28"/>
          <w:szCs w:val="28"/>
        </w:rPr>
        <w:t>entar la inconstitucionalidad de la norma acusada basado en ejemplos, acaecimientos particulares, hechos personales, vivencias propias, sucesos y ocurrencias reales o imaginarias, en las que supuestamente se aplicó o será aplicada la norma demandada”</w:t>
      </w:r>
      <w:r w:rsidRPr="00862128">
        <w:rPr>
          <w:rStyle w:val="Refdenotaalpie"/>
          <w:rFonts w:ascii="Times New Roman" w:hAnsi="Times New Roman"/>
          <w:sz w:val="28"/>
          <w:szCs w:val="28"/>
        </w:rPr>
        <w:footnoteReference w:id="103"/>
      </w:r>
      <w:r w:rsidRPr="00862128">
        <w:rPr>
          <w:rFonts w:ascii="Times New Roman" w:hAnsi="Times New Roman"/>
          <w:sz w:val="28"/>
          <w:szCs w:val="28"/>
        </w:rPr>
        <w:t xml:space="preserve">. La </w:t>
      </w:r>
      <w:r w:rsidRPr="00862128">
        <w:rPr>
          <w:rFonts w:ascii="Times New Roman" w:hAnsi="Times New Roman"/>
          <w:sz w:val="28"/>
          <w:szCs w:val="28"/>
        </w:rPr>
        <w:t xml:space="preserve">pertinencia excluye argumentos </w:t>
      </w:r>
      <w:r w:rsidRPr="00862128">
        <w:rPr>
          <w:rFonts w:ascii="Times New Roman" w:hAnsi="Times New Roman"/>
          <w:sz w:val="28"/>
          <w:szCs w:val="28"/>
        </w:rPr>
        <w:t>que</w:t>
      </w:r>
      <w:r w:rsidRPr="00862128">
        <w:rPr>
          <w:rFonts w:ascii="Times New Roman" w:hAnsi="Times New Roman"/>
          <w:sz w:val="28"/>
          <w:szCs w:val="28"/>
        </w:rPr>
        <w:t xml:space="preserve">: (i) </w:t>
      </w:r>
      <w:r w:rsidRPr="00862128">
        <w:rPr>
          <w:rFonts w:ascii="Times New Roman" w:hAnsi="Times New Roman"/>
          <w:sz w:val="28"/>
          <w:szCs w:val="28"/>
        </w:rPr>
        <w:t xml:space="preserve"> se apoyan en </w:t>
      </w:r>
      <w:r w:rsidRPr="00862128">
        <w:rPr>
          <w:rFonts w:ascii="Times New Roman" w:hAnsi="Times New Roman"/>
          <w:sz w:val="28"/>
          <w:szCs w:val="28"/>
        </w:rPr>
        <w:t>“</w:t>
      </w:r>
      <w:r w:rsidRPr="00862128">
        <w:rPr>
          <w:rFonts w:ascii="Times New Roman" w:hAnsi="Times New Roman"/>
          <w:sz w:val="28"/>
          <w:szCs w:val="28"/>
        </w:rPr>
        <w:t>consideraciones puramente legales (…) y doctrinarias</w:t>
      </w:r>
      <w:r w:rsidRPr="00862128">
        <w:rPr>
          <w:rFonts w:ascii="Times New Roman" w:hAnsi="Times New Roman"/>
          <w:sz w:val="28"/>
          <w:szCs w:val="28"/>
        </w:rPr>
        <w:t xml:space="preserve">” </w:t>
      </w:r>
      <w:r w:rsidRPr="00862128">
        <w:rPr>
          <w:rStyle w:val="Refdenotaalpie"/>
          <w:rFonts w:ascii="Times New Roman" w:hAnsi="Times New Roman"/>
          <w:sz w:val="28"/>
          <w:szCs w:val="28"/>
        </w:rPr>
        <w:footnoteReference w:id="104"/>
      </w:r>
      <w:r w:rsidRPr="00862128">
        <w:rPr>
          <w:rFonts w:ascii="Times New Roman" w:hAnsi="Times New Roman"/>
          <w:sz w:val="28"/>
          <w:szCs w:val="28"/>
        </w:rPr>
        <w:t xml:space="preserve">; (ii) </w:t>
      </w:r>
      <w:r w:rsidRPr="00862128">
        <w:rPr>
          <w:rFonts w:ascii="Times New Roman" w:hAnsi="Times New Roman"/>
          <w:sz w:val="28"/>
          <w:szCs w:val="28"/>
        </w:rPr>
        <w:t xml:space="preserve">se limitan a expresar </w:t>
      </w:r>
      <w:r w:rsidRPr="00862128">
        <w:rPr>
          <w:rFonts w:ascii="Times New Roman" w:hAnsi="Times New Roman"/>
          <w:sz w:val="28"/>
          <w:szCs w:val="28"/>
        </w:rPr>
        <w:t>“</w:t>
      </w:r>
      <w:r w:rsidRPr="00862128">
        <w:rPr>
          <w:rFonts w:ascii="Times New Roman" w:hAnsi="Times New Roman"/>
          <w:sz w:val="28"/>
          <w:szCs w:val="28"/>
        </w:rPr>
        <w:t>puntos de vista subjetivos</w:t>
      </w:r>
      <w:r w:rsidRPr="00862128">
        <w:rPr>
          <w:rFonts w:ascii="Times New Roman" w:hAnsi="Times New Roman"/>
          <w:sz w:val="28"/>
          <w:szCs w:val="28"/>
        </w:rPr>
        <w:t>”</w:t>
      </w:r>
      <w:r w:rsidRPr="00862128">
        <w:rPr>
          <w:rStyle w:val="Refdenotaalpie"/>
          <w:rFonts w:ascii="Times New Roman" w:hAnsi="Times New Roman"/>
          <w:sz w:val="28"/>
          <w:szCs w:val="28"/>
        </w:rPr>
        <w:footnoteReference w:id="105"/>
      </w:r>
      <w:r w:rsidRPr="00862128">
        <w:rPr>
          <w:rFonts w:ascii="Times New Roman" w:hAnsi="Times New Roman"/>
          <w:sz w:val="28"/>
          <w:szCs w:val="28"/>
        </w:rPr>
        <w:t xml:space="preserve">; (iii) </w:t>
      </w:r>
      <w:r w:rsidRPr="00862128">
        <w:rPr>
          <w:rFonts w:ascii="Times New Roman" w:hAnsi="Times New Roman"/>
          <w:sz w:val="28"/>
          <w:szCs w:val="28"/>
        </w:rPr>
        <w:t>pretende</w:t>
      </w:r>
      <w:r w:rsidRPr="00862128">
        <w:rPr>
          <w:rFonts w:ascii="Times New Roman" w:hAnsi="Times New Roman"/>
          <w:sz w:val="28"/>
          <w:szCs w:val="28"/>
        </w:rPr>
        <w:t>n</w:t>
      </w:r>
      <w:r w:rsidRPr="00862128">
        <w:rPr>
          <w:rFonts w:ascii="Times New Roman" w:hAnsi="Times New Roman"/>
          <w:sz w:val="28"/>
          <w:szCs w:val="28"/>
        </w:rPr>
        <w:t xml:space="preserve"> emplear la acción </w:t>
      </w:r>
      <w:r w:rsidRPr="00862128">
        <w:rPr>
          <w:rFonts w:ascii="Times New Roman" w:hAnsi="Times New Roman"/>
          <w:sz w:val="28"/>
          <w:szCs w:val="28"/>
        </w:rPr>
        <w:t xml:space="preserve">de constitucionalidad </w:t>
      </w:r>
      <w:r w:rsidRPr="00862128">
        <w:rPr>
          <w:rFonts w:ascii="Times New Roman" w:hAnsi="Times New Roman"/>
          <w:sz w:val="28"/>
          <w:szCs w:val="28"/>
        </w:rPr>
        <w:t xml:space="preserve"> </w:t>
      </w:r>
      <w:r w:rsidRPr="00862128">
        <w:rPr>
          <w:rFonts w:ascii="Times New Roman" w:hAnsi="Times New Roman"/>
          <w:sz w:val="28"/>
          <w:szCs w:val="28"/>
        </w:rPr>
        <w:t>“</w:t>
      </w:r>
      <w:r w:rsidRPr="00862128">
        <w:rPr>
          <w:rFonts w:ascii="Times New Roman" w:hAnsi="Times New Roman"/>
          <w:sz w:val="28"/>
          <w:szCs w:val="28"/>
        </w:rPr>
        <w:t>para resolver un problema pa</w:t>
      </w:r>
      <w:r w:rsidRPr="00862128">
        <w:rPr>
          <w:rFonts w:ascii="Times New Roman" w:hAnsi="Times New Roman"/>
          <w:sz w:val="28"/>
          <w:szCs w:val="28"/>
        </w:rPr>
        <w:t>rticular</w:t>
      </w:r>
      <w:r w:rsidRPr="00862128">
        <w:rPr>
          <w:rFonts w:ascii="Times New Roman" w:hAnsi="Times New Roman"/>
          <w:sz w:val="28"/>
          <w:szCs w:val="28"/>
        </w:rPr>
        <w:t>”</w:t>
      </w:r>
      <w:r w:rsidRPr="00862128">
        <w:rPr>
          <w:rStyle w:val="Refdenotaalpie"/>
          <w:rFonts w:ascii="Times New Roman" w:hAnsi="Times New Roman"/>
          <w:sz w:val="28"/>
          <w:szCs w:val="28"/>
        </w:rPr>
        <w:footnoteReference w:id="106"/>
      </w:r>
      <w:r w:rsidRPr="00862128">
        <w:rPr>
          <w:rFonts w:ascii="Times New Roman" w:hAnsi="Times New Roman"/>
          <w:sz w:val="28"/>
          <w:szCs w:val="28"/>
        </w:rPr>
        <w:t xml:space="preserve"> y (iv) fundamentan el reproche contra la norma demandada en un “</w:t>
      </w:r>
      <w:r w:rsidRPr="00862128">
        <w:rPr>
          <w:rFonts w:ascii="Times New Roman" w:hAnsi="Times New Roman"/>
          <w:sz w:val="28"/>
          <w:szCs w:val="28"/>
        </w:rPr>
        <w:t xml:space="preserve"> análisis de convenienci</w:t>
      </w:r>
      <w:r w:rsidRPr="00862128">
        <w:rPr>
          <w:rFonts w:ascii="Times New Roman" w:hAnsi="Times New Roman"/>
          <w:sz w:val="28"/>
          <w:szCs w:val="28"/>
        </w:rPr>
        <w:t>a”</w:t>
      </w:r>
      <w:r w:rsidRPr="00862128">
        <w:rPr>
          <w:rStyle w:val="Refdenotaalpie"/>
          <w:rFonts w:ascii="Times New Roman" w:hAnsi="Times New Roman"/>
          <w:sz w:val="28"/>
          <w:szCs w:val="28"/>
        </w:rPr>
        <w:t xml:space="preserve"> </w:t>
      </w:r>
      <w:r w:rsidRPr="00862128">
        <w:rPr>
          <w:rStyle w:val="Refdenotaalpie"/>
          <w:rFonts w:ascii="Times New Roman" w:hAnsi="Times New Roman"/>
          <w:sz w:val="28"/>
          <w:szCs w:val="28"/>
        </w:rPr>
        <w:footnoteReference w:id="107"/>
      </w:r>
      <w:r w:rsidRPr="00862128">
        <w:rPr>
          <w:rFonts w:ascii="Times New Roman" w:hAnsi="Times New Roman"/>
          <w:sz w:val="28"/>
          <w:szCs w:val="28"/>
        </w:rPr>
        <w:t>.</w:t>
      </w:r>
    </w:p>
    <w:p w:rsidR="009C4520" w:rsidRPr="00862128" w:rsidRDefault="00862128" w:rsidP="003664DF">
      <w:pPr>
        <w:pStyle w:val="Prrafodelista"/>
        <w:tabs>
          <w:tab w:val="left" w:pos="567"/>
        </w:tabs>
        <w:ind w:left="0"/>
        <w:jc w:val="both"/>
        <w:rPr>
          <w:rFonts w:ascii="Times New Roman" w:hAnsi="Times New Roman"/>
          <w:sz w:val="28"/>
          <w:szCs w:val="28"/>
        </w:rPr>
      </w:pPr>
    </w:p>
    <w:p w:rsidR="001648A5" w:rsidRPr="00862128" w:rsidRDefault="00862128">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En el presente caso, l</w:t>
      </w:r>
      <w:r w:rsidRPr="00862128">
        <w:rPr>
          <w:rFonts w:ascii="Times New Roman" w:hAnsi="Times New Roman"/>
          <w:sz w:val="28"/>
          <w:szCs w:val="28"/>
        </w:rPr>
        <w:t>os cargos no son pertinentes debido a que la censura no se funda en razones de naturaleza constitucional respecto a la expresión</w:t>
      </w:r>
      <w:r w:rsidRPr="00862128">
        <w:rPr>
          <w:rFonts w:ascii="Times New Roman" w:hAnsi="Times New Roman"/>
          <w:sz w:val="28"/>
          <w:szCs w:val="28"/>
        </w:rPr>
        <w:t xml:space="preserve"> demandada</w:t>
      </w:r>
      <w:r w:rsidRPr="00862128">
        <w:rPr>
          <w:rFonts w:ascii="Times New Roman" w:hAnsi="Times New Roman"/>
          <w:sz w:val="28"/>
          <w:szCs w:val="28"/>
        </w:rPr>
        <w:t xml:space="preserve"> (firma electrónica)</w:t>
      </w:r>
      <w:r w:rsidRPr="00862128">
        <w:rPr>
          <w:rFonts w:ascii="Times New Roman" w:hAnsi="Times New Roman"/>
          <w:sz w:val="28"/>
          <w:szCs w:val="28"/>
        </w:rPr>
        <w:t>. Por el contrario, la acusación se sustenta en la aplicación práctica de la exclusión de la firma electrónica como rubro constitutivo de intereses y la regulación que existe a nivel reglamentario sobre su uso a través de medi</w:t>
      </w:r>
      <w:r w:rsidRPr="00862128">
        <w:rPr>
          <w:rFonts w:ascii="Times New Roman" w:hAnsi="Times New Roman"/>
          <w:sz w:val="28"/>
          <w:szCs w:val="28"/>
        </w:rPr>
        <w:t xml:space="preserve">os digitales, así como sobre las implicaciones que ello conlleva respecto de las entidades no vigiladas por la Superintendencia Financiera de Colombia que otorguen créditos de consumo. </w:t>
      </w:r>
    </w:p>
    <w:p w:rsidR="00F63531" w:rsidRPr="00862128" w:rsidRDefault="00862128" w:rsidP="003664DF">
      <w:pPr>
        <w:pStyle w:val="Prrafodelista"/>
        <w:tabs>
          <w:tab w:val="left" w:pos="567"/>
        </w:tabs>
        <w:ind w:left="0"/>
        <w:jc w:val="both"/>
        <w:rPr>
          <w:rFonts w:ascii="Times New Roman" w:hAnsi="Times New Roman"/>
          <w:sz w:val="28"/>
          <w:szCs w:val="28"/>
        </w:rPr>
      </w:pPr>
    </w:p>
    <w:p w:rsidR="00F63531"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La demanda asume que la nueva regulación genera que los consumidores </w:t>
      </w:r>
      <w:r w:rsidRPr="00862128">
        <w:rPr>
          <w:rFonts w:ascii="Times New Roman" w:hAnsi="Times New Roman"/>
          <w:sz w:val="28"/>
          <w:szCs w:val="28"/>
        </w:rPr>
        <w:t>reciban información poco clara, incompleta y que, la mayoría de personas que no tienen conocimientos técnicos sobre los productos financieros serían engañados y escogerían una opción que termina afectando gravemente sus intereses. Esta son afirmaciones esp</w:t>
      </w:r>
      <w:r w:rsidRPr="00862128">
        <w:rPr>
          <w:rFonts w:ascii="Times New Roman" w:hAnsi="Times New Roman"/>
          <w:sz w:val="28"/>
          <w:szCs w:val="28"/>
        </w:rPr>
        <w:t>eculativ</w:t>
      </w:r>
      <w:r w:rsidRPr="00862128">
        <w:rPr>
          <w:rFonts w:ascii="Times New Roman" w:hAnsi="Times New Roman"/>
          <w:sz w:val="28"/>
          <w:szCs w:val="28"/>
        </w:rPr>
        <w:t>a</w:t>
      </w:r>
      <w:r w:rsidRPr="00862128">
        <w:rPr>
          <w:rFonts w:ascii="Times New Roman" w:hAnsi="Times New Roman"/>
          <w:sz w:val="28"/>
          <w:szCs w:val="28"/>
        </w:rPr>
        <w:t xml:space="preserve">s </w:t>
      </w:r>
      <w:r w:rsidRPr="00862128">
        <w:rPr>
          <w:rFonts w:ascii="Times New Roman" w:hAnsi="Times New Roman"/>
          <w:sz w:val="28"/>
          <w:szCs w:val="28"/>
        </w:rPr>
        <w:t xml:space="preserve">e hipotéticas de aplicación de la norma </w:t>
      </w:r>
      <w:r w:rsidRPr="00862128">
        <w:rPr>
          <w:rFonts w:ascii="Times New Roman" w:hAnsi="Times New Roman"/>
          <w:sz w:val="28"/>
          <w:szCs w:val="28"/>
        </w:rPr>
        <w:t>que carecen de naturaleza constitucional.</w:t>
      </w:r>
    </w:p>
    <w:p w:rsidR="001648A5" w:rsidRPr="00862128" w:rsidRDefault="00862128" w:rsidP="003664DF">
      <w:pPr>
        <w:pStyle w:val="Prrafodelista"/>
        <w:tabs>
          <w:tab w:val="left" w:pos="567"/>
        </w:tabs>
        <w:ind w:left="0"/>
        <w:rPr>
          <w:rFonts w:ascii="Times New Roman" w:hAnsi="Times New Roman"/>
          <w:sz w:val="28"/>
          <w:szCs w:val="28"/>
        </w:rPr>
      </w:pPr>
    </w:p>
    <w:p w:rsidR="00AC277B"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El demandante plantea como fundamento de sus cargos unos argumentos de mera conveniencia respecto de la norma objeto de la demanda. Por ejemplo, cuestiona el hech</w:t>
      </w:r>
      <w:r w:rsidRPr="00862128">
        <w:rPr>
          <w:rFonts w:ascii="Times New Roman" w:hAnsi="Times New Roman"/>
          <w:sz w:val="28"/>
          <w:szCs w:val="28"/>
        </w:rPr>
        <w:t>o de que la introducción de la disposición acusada genera un régimen menos favorable que el anterior para los consumidores, sin precisar cómo tal circunstancia implica el desconocimiento de los artículos 78 y 333 de la Constitución. Si bien el actor señala</w:t>
      </w:r>
      <w:r w:rsidRPr="00862128">
        <w:rPr>
          <w:rFonts w:ascii="Times New Roman" w:hAnsi="Times New Roman"/>
          <w:sz w:val="28"/>
          <w:szCs w:val="28"/>
        </w:rPr>
        <w:t xml:space="preserve"> unas consecuencias negativas que a su juicio se generan para los consumidores, no explica cómo las mismas tienen la capacidad de transgredir la libertad de competencia, la libertad de empresa y el ámbito de protección constitucional de los derechos de los</w:t>
      </w:r>
      <w:r w:rsidRPr="00862128">
        <w:rPr>
          <w:rFonts w:ascii="Times New Roman" w:hAnsi="Times New Roman"/>
          <w:sz w:val="28"/>
          <w:szCs w:val="28"/>
        </w:rPr>
        <w:t xml:space="preserve"> consumidores. </w:t>
      </w:r>
    </w:p>
    <w:p w:rsidR="00AC277B" w:rsidRPr="00862128" w:rsidRDefault="00862128" w:rsidP="003664DF">
      <w:pPr>
        <w:pStyle w:val="Prrafodelista"/>
        <w:tabs>
          <w:tab w:val="left" w:pos="567"/>
        </w:tabs>
        <w:ind w:left="0"/>
        <w:rPr>
          <w:rFonts w:ascii="Times New Roman" w:hAnsi="Times New Roman"/>
          <w:sz w:val="28"/>
          <w:szCs w:val="28"/>
        </w:rPr>
      </w:pPr>
    </w:p>
    <w:p w:rsidR="00AC277B" w:rsidRPr="00862128" w:rsidRDefault="00862128" w:rsidP="003664DF">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En un sentido similar, </w:t>
      </w:r>
      <w:r w:rsidRPr="00862128">
        <w:rPr>
          <w:rFonts w:ascii="Times New Roman" w:hAnsi="Times New Roman"/>
          <w:sz w:val="28"/>
          <w:szCs w:val="28"/>
        </w:rPr>
        <w:t xml:space="preserve">en la demanda se </w:t>
      </w:r>
      <w:r w:rsidRPr="00862128">
        <w:rPr>
          <w:rFonts w:ascii="Times New Roman" w:hAnsi="Times New Roman"/>
          <w:sz w:val="28"/>
          <w:szCs w:val="28"/>
        </w:rPr>
        <w:t xml:space="preserve">afirma que la disposición acusada afecta a los consumidores </w:t>
      </w:r>
      <w:r w:rsidRPr="00862128">
        <w:rPr>
          <w:rFonts w:ascii="Times New Roman" w:hAnsi="Times New Roman"/>
          <w:sz w:val="28"/>
          <w:szCs w:val="28"/>
        </w:rPr>
        <w:t>porque</w:t>
      </w:r>
      <w:r w:rsidRPr="00862128">
        <w:rPr>
          <w:rFonts w:ascii="Times New Roman" w:hAnsi="Times New Roman"/>
          <w:sz w:val="28"/>
          <w:szCs w:val="28"/>
        </w:rPr>
        <w:t xml:space="preserve"> </w:t>
      </w:r>
      <w:r w:rsidRPr="00862128">
        <w:rPr>
          <w:rFonts w:ascii="Times New Roman" w:hAnsi="Times New Roman"/>
          <w:sz w:val="28"/>
          <w:szCs w:val="28"/>
        </w:rPr>
        <w:t xml:space="preserve">los </w:t>
      </w:r>
      <w:r w:rsidRPr="00862128">
        <w:rPr>
          <w:rFonts w:ascii="Times New Roman" w:hAnsi="Times New Roman"/>
          <w:sz w:val="28"/>
          <w:szCs w:val="28"/>
        </w:rPr>
        <w:t>obliga</w:t>
      </w:r>
      <w:r w:rsidRPr="00862128">
        <w:rPr>
          <w:rFonts w:ascii="Times New Roman" w:hAnsi="Times New Roman"/>
          <w:sz w:val="28"/>
          <w:szCs w:val="28"/>
        </w:rPr>
        <w:t xml:space="preserve"> </w:t>
      </w:r>
      <w:r w:rsidRPr="00862128">
        <w:rPr>
          <w:rFonts w:ascii="Times New Roman" w:hAnsi="Times New Roman"/>
          <w:sz w:val="28"/>
          <w:szCs w:val="28"/>
        </w:rPr>
        <w:t xml:space="preserve">a realizar una serie de cálculos y análisis para comparar diferentes ofertas. Al respecto, más allá de si tal afirmación </w:t>
      </w:r>
      <w:r w:rsidRPr="00862128">
        <w:rPr>
          <w:rFonts w:ascii="Times New Roman" w:hAnsi="Times New Roman"/>
          <w:sz w:val="28"/>
          <w:szCs w:val="28"/>
        </w:rPr>
        <w:t xml:space="preserve">es correcta, lo cierto es que esa alegación no es de naturaleza constitucional y, por el contrario, se trata de una cuestión de mera conveniencia o inconformidad con la norma. En esa medida, se trata de argumentos que carecen de pertinencia pues lo que se </w:t>
      </w:r>
      <w:r w:rsidRPr="00862128">
        <w:rPr>
          <w:rFonts w:ascii="Times New Roman" w:hAnsi="Times New Roman"/>
          <w:sz w:val="28"/>
          <w:szCs w:val="28"/>
        </w:rPr>
        <w:t>plantea es una inconformidad con los efectos de la norma y no razones de índole constitucionales que demuestren la contradicción entre el texto legal acusado y la Constitución</w:t>
      </w:r>
      <w:r w:rsidRPr="00862128">
        <w:rPr>
          <w:rFonts w:ascii="Times New Roman" w:hAnsi="Times New Roman"/>
          <w:sz w:val="28"/>
          <w:szCs w:val="28"/>
        </w:rPr>
        <w:t>.</w:t>
      </w:r>
    </w:p>
    <w:p w:rsidR="00AC277B" w:rsidRPr="00862128" w:rsidRDefault="00862128" w:rsidP="003664DF">
      <w:pPr>
        <w:rPr>
          <w:rFonts w:ascii="Times New Roman" w:hAnsi="Times New Roman"/>
          <w:sz w:val="28"/>
          <w:szCs w:val="28"/>
        </w:rPr>
      </w:pPr>
    </w:p>
    <w:p w:rsidR="001648A5" w:rsidRPr="00862128" w:rsidRDefault="00862128">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Este tipo de argumentos no resultan procedentes en un juicio de control abstra</w:t>
      </w:r>
      <w:r w:rsidRPr="00862128">
        <w:rPr>
          <w:rFonts w:ascii="Times New Roman" w:hAnsi="Times New Roman"/>
          <w:sz w:val="28"/>
          <w:szCs w:val="28"/>
        </w:rPr>
        <w:t>cto de constitucionalidad, puesto que se aprecian como una confrontación de la disposición acusada con los efectos prácticos de su aplicación, así como con el marco regulatorio que ha desarrollado la Superintendencia Financiera de Colombia a través de la C</w:t>
      </w:r>
      <w:r w:rsidRPr="00862128">
        <w:rPr>
          <w:rFonts w:ascii="Times New Roman" w:hAnsi="Times New Roman"/>
          <w:sz w:val="28"/>
          <w:szCs w:val="28"/>
        </w:rPr>
        <w:t>ircular Básica Jurídica.</w:t>
      </w:r>
    </w:p>
    <w:p w:rsidR="009C4520" w:rsidRPr="00862128" w:rsidRDefault="00862128" w:rsidP="003664DF">
      <w:pPr>
        <w:pStyle w:val="Prrafodelista"/>
        <w:rPr>
          <w:rFonts w:ascii="Times New Roman" w:hAnsi="Times New Roman"/>
          <w:sz w:val="28"/>
          <w:szCs w:val="28"/>
        </w:rPr>
      </w:pPr>
    </w:p>
    <w:p w:rsidR="001648A5" w:rsidRPr="00862128" w:rsidRDefault="00862128" w:rsidP="001C16A1">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Las afirmaciones según las cuales el demandante basó su demanda en una interpretación personal de otra ley, sin hacer una conexión clara y directa </w:t>
      </w:r>
      <w:r w:rsidRPr="00862128">
        <w:rPr>
          <w:rFonts w:ascii="Times New Roman" w:hAnsi="Times New Roman"/>
          <w:sz w:val="28"/>
          <w:szCs w:val="28"/>
        </w:rPr>
        <w:t xml:space="preserve">de la expresión “firma electrónica” </w:t>
      </w:r>
      <w:r w:rsidRPr="00862128">
        <w:rPr>
          <w:rFonts w:ascii="Times New Roman" w:hAnsi="Times New Roman"/>
          <w:sz w:val="28"/>
          <w:szCs w:val="28"/>
        </w:rPr>
        <w:t>con los artículos constitucionales presuntament</w:t>
      </w:r>
      <w:r w:rsidRPr="00862128">
        <w:rPr>
          <w:rFonts w:ascii="Times New Roman" w:hAnsi="Times New Roman"/>
          <w:sz w:val="28"/>
          <w:szCs w:val="28"/>
        </w:rPr>
        <w:t xml:space="preserve">e vulnerados, </w:t>
      </w:r>
      <w:r w:rsidRPr="00862128">
        <w:rPr>
          <w:rFonts w:ascii="Times New Roman" w:hAnsi="Times New Roman"/>
          <w:sz w:val="28"/>
          <w:szCs w:val="28"/>
        </w:rPr>
        <w:t xml:space="preserve">denotan que el cargo </w:t>
      </w:r>
      <w:r w:rsidRPr="00862128">
        <w:rPr>
          <w:rFonts w:ascii="Times New Roman" w:hAnsi="Times New Roman"/>
          <w:sz w:val="28"/>
          <w:szCs w:val="28"/>
        </w:rPr>
        <w:t>carece</w:t>
      </w:r>
      <w:r w:rsidRPr="00862128">
        <w:rPr>
          <w:rFonts w:ascii="Times New Roman" w:hAnsi="Times New Roman"/>
          <w:sz w:val="28"/>
          <w:szCs w:val="28"/>
        </w:rPr>
        <w:t xml:space="preserve"> </w:t>
      </w:r>
      <w:r w:rsidRPr="00862128">
        <w:rPr>
          <w:rFonts w:ascii="Times New Roman" w:hAnsi="Times New Roman"/>
          <w:sz w:val="28"/>
          <w:szCs w:val="28"/>
        </w:rPr>
        <w:t xml:space="preserve">de pertinencia. </w:t>
      </w:r>
    </w:p>
    <w:p w:rsidR="00E81156" w:rsidRPr="00862128" w:rsidRDefault="00862128" w:rsidP="003664DF">
      <w:pPr>
        <w:pStyle w:val="Prrafodelista"/>
        <w:rPr>
          <w:rFonts w:ascii="Times New Roman" w:hAnsi="Times New Roman"/>
          <w:sz w:val="28"/>
          <w:szCs w:val="28"/>
        </w:rPr>
      </w:pPr>
    </w:p>
    <w:p w:rsidR="00E81156" w:rsidRPr="00862128" w:rsidRDefault="00862128" w:rsidP="00AE6CF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Adicionalmente, el demandante utiliza argumentos legales que se derivan de una revisión parcial de la regulación que genera conclusiones incompletas. En efecto, el demandante califica como “</w:t>
      </w:r>
      <w:r w:rsidRPr="00862128">
        <w:rPr>
          <w:rFonts w:ascii="Times New Roman" w:hAnsi="Times New Roman"/>
          <w:i/>
          <w:iCs/>
          <w:sz w:val="28"/>
          <w:szCs w:val="28"/>
        </w:rPr>
        <w:t>retroceso</w:t>
      </w:r>
      <w:r w:rsidRPr="00862128">
        <w:rPr>
          <w:rFonts w:ascii="Times New Roman" w:hAnsi="Times New Roman"/>
          <w:sz w:val="28"/>
          <w:szCs w:val="28"/>
        </w:rPr>
        <w:t>”</w:t>
      </w:r>
      <w:r w:rsidRPr="00862128">
        <w:rPr>
          <w:rFonts w:ascii="Times New Roman" w:hAnsi="Times New Roman"/>
          <w:bCs/>
          <w:sz w:val="28"/>
          <w:szCs w:val="28"/>
          <w:vertAlign w:val="superscript"/>
        </w:rPr>
        <w:t xml:space="preserve"> </w:t>
      </w:r>
      <w:r w:rsidRPr="00862128">
        <w:rPr>
          <w:rFonts w:ascii="Times New Roman" w:hAnsi="Times New Roman"/>
          <w:bCs/>
          <w:sz w:val="28"/>
          <w:szCs w:val="28"/>
          <w:vertAlign w:val="superscript"/>
        </w:rPr>
        <w:footnoteReference w:id="108"/>
      </w:r>
      <w:r w:rsidRPr="00862128">
        <w:rPr>
          <w:rFonts w:ascii="Times New Roman" w:hAnsi="Times New Roman"/>
          <w:sz w:val="28"/>
          <w:szCs w:val="28"/>
        </w:rPr>
        <w:t xml:space="preserve"> la inclusión de la firma electrónica entre los rubros que “no se reputan intereses”, pero no confronta ese enunciado con el régimen integral que lo rodea. Leído en conjunto, el artículo 45 de la Ley 1480 de 2011: (i) impone límites generales a</w:t>
      </w:r>
      <w:r w:rsidRPr="00862128">
        <w:rPr>
          <w:rFonts w:ascii="Times New Roman" w:hAnsi="Times New Roman"/>
          <w:sz w:val="28"/>
          <w:szCs w:val="28"/>
        </w:rPr>
        <w:t xml:space="preserve"> las tasas de interés (núm. 2), (ii) establece deberes reforzados de información sobre costos adicionales (núms. 1 y 4),  (iii) en su parágrafo 3 configura como regla general que “se reputarán como intereses todos los cargos por concepto de uso de tecnolog</w:t>
      </w:r>
      <w:r w:rsidRPr="00862128">
        <w:rPr>
          <w:rFonts w:ascii="Times New Roman" w:hAnsi="Times New Roman"/>
          <w:sz w:val="28"/>
          <w:szCs w:val="28"/>
        </w:rPr>
        <w:t>ía”, sometiéndolos a límites de usura e identificación clara como interés. Solo de forma condicionada, permite que ciertos rubros independientes — incluida la firma electrónica— sean asumidos por el usuario, siempre que sean informados y no constituyan una</w:t>
      </w:r>
      <w:r w:rsidRPr="00862128">
        <w:rPr>
          <w:rFonts w:ascii="Times New Roman" w:hAnsi="Times New Roman"/>
          <w:sz w:val="28"/>
          <w:szCs w:val="28"/>
        </w:rPr>
        <w:t xml:space="preserve"> contraprestación al acreedor por el crédito, y (iv) señala que no es obligatorio utilizar la firma electrónica ni asumir su costo si la misma puede suplirse de manera física. Para el efecto, se deberá informar al consumidor que la firma electrónica puede </w:t>
      </w:r>
      <w:r w:rsidRPr="00862128">
        <w:rPr>
          <w:rFonts w:ascii="Times New Roman" w:hAnsi="Times New Roman"/>
          <w:sz w:val="28"/>
          <w:szCs w:val="28"/>
        </w:rPr>
        <w:t>ser reemplazada por la firma manuscrita con el objetivo de que elija la forma que prefiera.</w:t>
      </w:r>
    </w:p>
    <w:p w:rsidR="00AE6CF9" w:rsidRPr="00862128" w:rsidRDefault="00862128" w:rsidP="00AE6CF9">
      <w:pPr>
        <w:pStyle w:val="Prrafodelista"/>
        <w:tabs>
          <w:tab w:val="left" w:pos="567"/>
        </w:tabs>
        <w:ind w:left="0"/>
        <w:jc w:val="both"/>
        <w:rPr>
          <w:rFonts w:ascii="Times New Roman" w:hAnsi="Times New Roman"/>
          <w:sz w:val="28"/>
          <w:szCs w:val="28"/>
        </w:rPr>
      </w:pPr>
    </w:p>
    <w:p w:rsidR="00E81156" w:rsidRPr="00862128" w:rsidRDefault="00862128" w:rsidP="00CE3C59">
      <w:pPr>
        <w:pStyle w:val="Prrafodelista"/>
        <w:numPr>
          <w:ilvl w:val="0"/>
          <w:numId w:val="4"/>
        </w:numPr>
        <w:tabs>
          <w:tab w:val="left" w:pos="567"/>
        </w:tabs>
        <w:ind w:left="0" w:firstLine="0"/>
        <w:jc w:val="both"/>
        <w:rPr>
          <w:rFonts w:ascii="Times New Roman" w:hAnsi="Times New Roman"/>
          <w:sz w:val="28"/>
          <w:szCs w:val="28"/>
        </w:rPr>
      </w:pPr>
      <w:r w:rsidRPr="00862128">
        <w:rPr>
          <w:rFonts w:ascii="Times New Roman" w:hAnsi="Times New Roman"/>
          <w:sz w:val="28"/>
          <w:szCs w:val="28"/>
        </w:rPr>
        <w:t xml:space="preserve">Así, el supuesto “retroceso” no surge, per se, del texto demandado, sino de una interpretación de uno de sus fragmentos. Este tipo de lectura aislada no es compatible con el requisito de </w:t>
      </w:r>
      <w:r w:rsidRPr="00862128">
        <w:rPr>
          <w:rFonts w:ascii="Times New Roman" w:hAnsi="Times New Roman"/>
          <w:sz w:val="28"/>
          <w:szCs w:val="28"/>
        </w:rPr>
        <w:t>pertinencia porque</w:t>
      </w:r>
      <w:r w:rsidRPr="00862128">
        <w:rPr>
          <w:rFonts w:ascii="Times New Roman" w:hAnsi="Times New Roman"/>
          <w:sz w:val="28"/>
          <w:szCs w:val="28"/>
        </w:rPr>
        <w:t xml:space="preserve"> no sólo</w:t>
      </w:r>
      <w:r w:rsidRPr="00862128">
        <w:rPr>
          <w:rFonts w:ascii="Times New Roman" w:hAnsi="Times New Roman"/>
          <w:sz w:val="28"/>
          <w:szCs w:val="28"/>
        </w:rPr>
        <w:t xml:space="preserve"> se basa en una </w:t>
      </w:r>
      <w:r w:rsidRPr="00862128">
        <w:rPr>
          <w:rFonts w:ascii="Times New Roman" w:hAnsi="Times New Roman"/>
          <w:sz w:val="28"/>
          <w:szCs w:val="28"/>
        </w:rPr>
        <w:t>interpretación fragmentaria</w:t>
      </w:r>
      <w:r w:rsidRPr="00862128">
        <w:rPr>
          <w:rFonts w:ascii="Times New Roman" w:hAnsi="Times New Roman"/>
          <w:sz w:val="28"/>
          <w:szCs w:val="28"/>
        </w:rPr>
        <w:t xml:space="preserve"> de</w:t>
      </w:r>
      <w:r w:rsidRPr="00862128">
        <w:rPr>
          <w:rFonts w:ascii="Times New Roman" w:hAnsi="Times New Roman"/>
          <w:sz w:val="28"/>
          <w:szCs w:val="28"/>
        </w:rPr>
        <w:t xml:space="preserve"> la expresión </w:t>
      </w:r>
      <w:r w:rsidRPr="00862128">
        <w:rPr>
          <w:rFonts w:ascii="Times New Roman" w:hAnsi="Times New Roman"/>
          <w:sz w:val="28"/>
          <w:szCs w:val="28"/>
        </w:rPr>
        <w:t>demandad</w:t>
      </w:r>
      <w:r w:rsidRPr="00862128">
        <w:rPr>
          <w:rFonts w:ascii="Times New Roman" w:hAnsi="Times New Roman"/>
          <w:sz w:val="28"/>
          <w:szCs w:val="28"/>
        </w:rPr>
        <w:t>a</w:t>
      </w:r>
      <w:r w:rsidRPr="00862128">
        <w:rPr>
          <w:rFonts w:ascii="Times New Roman" w:hAnsi="Times New Roman"/>
          <w:sz w:val="28"/>
          <w:szCs w:val="28"/>
        </w:rPr>
        <w:t>, sino que adolece de razonamientos de orde</w:t>
      </w:r>
      <w:r w:rsidRPr="00862128">
        <w:rPr>
          <w:rFonts w:ascii="Times New Roman" w:hAnsi="Times New Roman"/>
          <w:sz w:val="28"/>
          <w:szCs w:val="28"/>
        </w:rPr>
        <w:t>n</w:t>
      </w:r>
      <w:r w:rsidRPr="00862128">
        <w:rPr>
          <w:rFonts w:ascii="Times New Roman" w:hAnsi="Times New Roman"/>
          <w:sz w:val="28"/>
          <w:szCs w:val="28"/>
        </w:rPr>
        <w:t xml:space="preserve"> constitucional.</w:t>
      </w:r>
    </w:p>
    <w:p w:rsidR="001F689F" w:rsidRPr="00862128" w:rsidRDefault="00862128" w:rsidP="003664DF">
      <w:pPr>
        <w:pStyle w:val="Prrafodelista"/>
        <w:tabs>
          <w:tab w:val="left" w:pos="567"/>
        </w:tabs>
        <w:ind w:left="0"/>
        <w:jc w:val="both"/>
        <w:rPr>
          <w:rFonts w:ascii="Times New Roman" w:hAnsi="Times New Roman"/>
          <w:sz w:val="28"/>
          <w:szCs w:val="28"/>
        </w:rPr>
      </w:pPr>
    </w:p>
    <w:p w:rsidR="001648A5" w:rsidRPr="00862128" w:rsidRDefault="00862128" w:rsidP="001648A5">
      <w:pPr>
        <w:pStyle w:val="Prrafodelista"/>
        <w:tabs>
          <w:tab w:val="left" w:pos="567"/>
        </w:tabs>
        <w:ind w:left="0"/>
        <w:rPr>
          <w:rFonts w:ascii="Times New Roman" w:hAnsi="Times New Roman"/>
          <w:b/>
          <w:bCs/>
          <w:i/>
          <w:iCs/>
          <w:color w:val="000000"/>
          <w:sz w:val="28"/>
          <w:szCs w:val="28"/>
        </w:rPr>
      </w:pPr>
      <w:r w:rsidRPr="00862128">
        <w:rPr>
          <w:rFonts w:ascii="Times New Roman" w:hAnsi="Times New Roman"/>
          <w:b/>
          <w:bCs/>
          <w:i/>
          <w:iCs/>
          <w:color w:val="000000"/>
          <w:sz w:val="28"/>
          <w:szCs w:val="28"/>
        </w:rPr>
        <w:t>Suficiencia</w:t>
      </w:r>
    </w:p>
    <w:p w:rsidR="001648A5" w:rsidRPr="00862128" w:rsidRDefault="00862128" w:rsidP="003664DF">
      <w:pPr>
        <w:pStyle w:val="Prrafodelista"/>
        <w:tabs>
          <w:tab w:val="left" w:pos="567"/>
        </w:tabs>
        <w:ind w:left="0"/>
        <w:rPr>
          <w:rFonts w:ascii="Times New Roman" w:hAnsi="Times New Roman"/>
          <w:sz w:val="28"/>
          <w:szCs w:val="28"/>
        </w:rPr>
      </w:pPr>
    </w:p>
    <w:p w:rsidR="001648A5" w:rsidRPr="00862128" w:rsidRDefault="00862128" w:rsidP="001648A5">
      <w:pPr>
        <w:pStyle w:val="Prrafodelista"/>
        <w:numPr>
          <w:ilvl w:val="0"/>
          <w:numId w:val="4"/>
        </w:numPr>
        <w:tabs>
          <w:tab w:val="left" w:pos="567"/>
        </w:tabs>
        <w:ind w:left="0" w:firstLine="0"/>
        <w:jc w:val="both"/>
        <w:rPr>
          <w:rFonts w:ascii="Times New Roman" w:hAnsi="Times New Roman"/>
          <w:sz w:val="28"/>
          <w:szCs w:val="28"/>
          <w:lang w:val="es-ES_tradnl"/>
        </w:rPr>
      </w:pPr>
      <w:r w:rsidRPr="00862128">
        <w:rPr>
          <w:rFonts w:ascii="Times New Roman" w:hAnsi="Times New Roman"/>
          <w:sz w:val="28"/>
          <w:szCs w:val="28"/>
        </w:rPr>
        <w:t>Dad</w:t>
      </w:r>
      <w:r w:rsidRPr="00862128">
        <w:rPr>
          <w:rFonts w:ascii="Times New Roman" w:hAnsi="Times New Roman"/>
          <w:sz w:val="28"/>
          <w:szCs w:val="28"/>
        </w:rPr>
        <w:t xml:space="preserve">a la falta de </w:t>
      </w:r>
      <w:r w:rsidRPr="00862128">
        <w:rPr>
          <w:rFonts w:ascii="Times New Roman" w:hAnsi="Times New Roman"/>
          <w:sz w:val="28"/>
          <w:szCs w:val="28"/>
        </w:rPr>
        <w:t xml:space="preserve">certeza, especificidad y pertinencia que presentan los cargos formulados, la acusación es </w:t>
      </w:r>
      <w:r w:rsidRPr="00862128">
        <w:rPr>
          <w:rFonts w:ascii="Times New Roman" w:hAnsi="Times New Roman"/>
          <w:sz w:val="28"/>
          <w:szCs w:val="28"/>
        </w:rPr>
        <w:t>in</w:t>
      </w:r>
      <w:r w:rsidRPr="00862128">
        <w:rPr>
          <w:rFonts w:ascii="Times New Roman" w:hAnsi="Times New Roman"/>
          <w:sz w:val="28"/>
          <w:szCs w:val="28"/>
        </w:rPr>
        <w:t xml:space="preserve">suficiente para generar una duda mínima sobre </w:t>
      </w:r>
      <w:r w:rsidRPr="00862128">
        <w:rPr>
          <w:rFonts w:ascii="Times New Roman" w:hAnsi="Times New Roman"/>
          <w:sz w:val="28"/>
          <w:szCs w:val="28"/>
        </w:rPr>
        <w:t>la constitucionalidad de la expresión “firma electrónica”.</w:t>
      </w:r>
    </w:p>
    <w:p w:rsidR="00964D6B" w:rsidRPr="00862128" w:rsidRDefault="00862128" w:rsidP="00964D6B">
      <w:pPr>
        <w:rPr>
          <w:rFonts w:ascii="Times New Roman" w:hAnsi="Times New Roman"/>
          <w:i/>
          <w:iCs/>
          <w:sz w:val="28"/>
          <w:szCs w:val="28"/>
          <w:shd w:val="clear" w:color="auto" w:fill="FFFFFF"/>
        </w:rPr>
      </w:pPr>
    </w:p>
    <w:p w:rsidR="00964D6B" w:rsidRPr="00862128" w:rsidRDefault="00862128" w:rsidP="00964D6B">
      <w:pPr>
        <w:rPr>
          <w:rFonts w:ascii="Times New Roman" w:hAnsi="Times New Roman"/>
          <w:b/>
          <w:bCs/>
          <w:color w:val="000000"/>
          <w:sz w:val="28"/>
          <w:szCs w:val="28"/>
          <w:shd w:val="clear" w:color="auto" w:fill="FFFFFF"/>
        </w:rPr>
      </w:pPr>
      <w:r w:rsidRPr="00862128">
        <w:rPr>
          <w:rFonts w:ascii="Times New Roman" w:hAnsi="Times New Roman"/>
          <w:b/>
          <w:bCs/>
          <w:color w:val="000000"/>
          <w:sz w:val="28"/>
          <w:szCs w:val="28"/>
          <w:shd w:val="clear" w:color="auto" w:fill="FFFFFF"/>
        </w:rPr>
        <w:t>Conclusión</w:t>
      </w:r>
    </w:p>
    <w:p w:rsidR="00964D6B" w:rsidRPr="00862128" w:rsidRDefault="00862128" w:rsidP="00964D6B">
      <w:pPr>
        <w:rPr>
          <w:rFonts w:ascii="Times New Roman" w:hAnsi="Times New Roman"/>
          <w:i/>
          <w:iCs/>
          <w:sz w:val="28"/>
          <w:szCs w:val="28"/>
          <w:shd w:val="clear" w:color="auto" w:fill="FFFFFF"/>
        </w:rPr>
      </w:pPr>
    </w:p>
    <w:p w:rsidR="00F26858" w:rsidRPr="00862128" w:rsidRDefault="00862128" w:rsidP="00750770">
      <w:pPr>
        <w:pStyle w:val="Prrafodelista"/>
        <w:numPr>
          <w:ilvl w:val="0"/>
          <w:numId w:val="4"/>
        </w:numPr>
        <w:tabs>
          <w:tab w:val="left" w:pos="567"/>
        </w:tabs>
        <w:ind w:left="0" w:firstLine="0"/>
        <w:jc w:val="both"/>
        <w:rPr>
          <w:rFonts w:ascii="Times New Roman" w:hAnsi="Times New Roman"/>
          <w:sz w:val="28"/>
          <w:szCs w:val="32"/>
        </w:rPr>
      </w:pPr>
      <w:r w:rsidRPr="00862128">
        <w:rPr>
          <w:rFonts w:ascii="Times New Roman" w:hAnsi="Times New Roman"/>
          <w:sz w:val="28"/>
          <w:szCs w:val="28"/>
          <w:shd w:val="clear" w:color="auto" w:fill="FFFFFF"/>
        </w:rPr>
        <w:t xml:space="preserve"> Por las razones expuestas</w:t>
      </w:r>
      <w:r w:rsidRPr="00862128">
        <w:rPr>
          <w:rFonts w:ascii="Times New Roman" w:hAnsi="Times New Roman"/>
          <w:sz w:val="28"/>
          <w:szCs w:val="28"/>
          <w:shd w:val="clear" w:color="auto" w:fill="FFFFFF"/>
        </w:rPr>
        <w:t xml:space="preserve">, </w:t>
      </w:r>
      <w:r w:rsidRPr="00862128">
        <w:rPr>
          <w:rFonts w:ascii="Times New Roman" w:hAnsi="Times New Roman"/>
          <w:sz w:val="28"/>
          <w:szCs w:val="28"/>
          <w:shd w:val="clear" w:color="auto" w:fill="FFFFFF"/>
        </w:rPr>
        <w:t>la Sala estima que los argumentos planteados por presunta vulneración de los artículos 13, 78 y 333 de la Constitución no cumplen</w:t>
      </w:r>
      <w:r w:rsidRPr="00862128">
        <w:rPr>
          <w:rFonts w:ascii="Times New Roman" w:hAnsi="Times New Roman"/>
          <w:sz w:val="28"/>
          <w:szCs w:val="28"/>
          <w:shd w:val="clear" w:color="auto" w:fill="FFFFFF"/>
        </w:rPr>
        <w:t xml:space="preserve"> con las exigencias de la jurisprudencia constitucional sobre igualdad, certeza</w:t>
      </w:r>
      <w:r w:rsidRPr="00862128">
        <w:rPr>
          <w:rFonts w:ascii="Times New Roman" w:hAnsi="Times New Roman"/>
          <w:sz w:val="28"/>
          <w:szCs w:val="28"/>
          <w:shd w:val="clear" w:color="auto" w:fill="FFFFFF"/>
        </w:rPr>
        <w:t xml:space="preserve">, </w:t>
      </w:r>
      <w:r w:rsidRPr="00862128">
        <w:rPr>
          <w:rFonts w:ascii="Times New Roman" w:hAnsi="Times New Roman"/>
          <w:sz w:val="28"/>
          <w:szCs w:val="28"/>
          <w:shd w:val="clear" w:color="auto" w:fill="FFFFFF"/>
        </w:rPr>
        <w:t>especificidad</w:t>
      </w:r>
      <w:r w:rsidRPr="00862128">
        <w:rPr>
          <w:rFonts w:ascii="Times New Roman" w:hAnsi="Times New Roman"/>
          <w:sz w:val="28"/>
          <w:szCs w:val="28"/>
          <w:shd w:val="clear" w:color="auto" w:fill="FFFFFF"/>
        </w:rPr>
        <w:t>, pertinencia y suficiencia</w:t>
      </w:r>
      <w:r w:rsidRPr="00862128">
        <w:rPr>
          <w:rFonts w:ascii="Times New Roman" w:hAnsi="Times New Roman"/>
          <w:sz w:val="28"/>
          <w:szCs w:val="28"/>
          <w:shd w:val="clear" w:color="auto" w:fill="FFFFFF"/>
        </w:rPr>
        <w:t>, lo cual no permite su estudio de fondo.</w:t>
      </w:r>
    </w:p>
    <w:p w:rsidR="00750770" w:rsidRPr="00862128" w:rsidRDefault="00862128" w:rsidP="00F26858">
      <w:pPr>
        <w:rPr>
          <w:rFonts w:ascii="Times New Roman" w:hAnsi="Times New Roman"/>
          <w:sz w:val="28"/>
          <w:szCs w:val="28"/>
          <w:shd w:val="clear" w:color="auto" w:fill="FFFFFF"/>
        </w:rPr>
      </w:pPr>
    </w:p>
    <w:p w:rsidR="00DB7C6D" w:rsidRPr="00862128" w:rsidRDefault="00862128" w:rsidP="00DB7C6D">
      <w:pPr>
        <w:pStyle w:val="Prrafodelista"/>
        <w:numPr>
          <w:ilvl w:val="0"/>
          <w:numId w:val="4"/>
        </w:numPr>
        <w:tabs>
          <w:tab w:val="left" w:pos="567"/>
        </w:tabs>
        <w:ind w:left="0" w:firstLine="0"/>
        <w:jc w:val="both"/>
        <w:rPr>
          <w:rFonts w:ascii="Times New Roman" w:hAnsi="Times New Roman"/>
          <w:sz w:val="28"/>
          <w:szCs w:val="32"/>
        </w:rPr>
      </w:pPr>
      <w:r w:rsidRPr="00862128">
        <w:rPr>
          <w:rFonts w:ascii="Times New Roman" w:hAnsi="Times New Roman"/>
          <w:sz w:val="28"/>
          <w:szCs w:val="28"/>
          <w:shd w:val="clear" w:color="auto" w:fill="FFFFFF"/>
        </w:rPr>
        <w:t xml:space="preserve"> En virtud de lo anterior, la Sala Plena proferirá fallo inhibitorio. E</w:t>
      </w:r>
      <w:r w:rsidRPr="00862128">
        <w:rPr>
          <w:rFonts w:ascii="Times New Roman" w:hAnsi="Times New Roman"/>
          <w:sz w:val="28"/>
          <w:szCs w:val="28"/>
          <w:shd w:val="clear" w:color="auto" w:fill="FFFFFF"/>
        </w:rPr>
        <w:t>s importante advertir</w:t>
      </w:r>
      <w:r w:rsidRPr="00862128">
        <w:rPr>
          <w:rFonts w:ascii="Times New Roman" w:hAnsi="Times New Roman"/>
          <w:sz w:val="28"/>
          <w:szCs w:val="28"/>
          <w:shd w:val="clear" w:color="auto" w:fill="FFFFFF"/>
        </w:rPr>
        <w:t xml:space="preserve"> que la decisión inhibitoria no hace tránsito a cosa juzgada, ni restringe el derecho de acción de los ciudadanos, de manera que, si así lo estiman pertinente, pueden presentar una nueva demanda.</w:t>
      </w:r>
    </w:p>
    <w:p w:rsidR="00A52E1D" w:rsidRPr="00862128" w:rsidRDefault="00862128" w:rsidP="00BE5143">
      <w:pPr>
        <w:pStyle w:val="Prrafodelista"/>
        <w:tabs>
          <w:tab w:val="left" w:pos="993"/>
        </w:tabs>
        <w:ind w:left="0"/>
        <w:jc w:val="both"/>
        <w:rPr>
          <w:rFonts w:ascii="Times New Roman" w:hAnsi="Times New Roman"/>
          <w:sz w:val="28"/>
          <w:szCs w:val="28"/>
        </w:rPr>
      </w:pPr>
    </w:p>
    <w:p w:rsidR="005B2FF1" w:rsidRPr="00862128" w:rsidRDefault="00862128" w:rsidP="00BE5143">
      <w:pPr>
        <w:pStyle w:val="Ttulo1"/>
        <w:spacing w:before="0" w:after="0"/>
        <w:rPr>
          <w:rFonts w:ascii="Times New Roman" w:hAnsi="Times New Roman"/>
          <w:b/>
          <w:bCs/>
          <w:color w:val="auto"/>
          <w:sz w:val="28"/>
          <w:szCs w:val="28"/>
        </w:rPr>
      </w:pPr>
      <w:bookmarkStart w:id="25" w:name="_Toc223713288"/>
      <w:r w:rsidRPr="00862128">
        <w:rPr>
          <w:rFonts w:ascii="Times New Roman" w:hAnsi="Times New Roman"/>
          <w:b/>
          <w:bCs/>
          <w:color w:val="auto"/>
          <w:sz w:val="28"/>
          <w:szCs w:val="28"/>
        </w:rPr>
        <w:t xml:space="preserve">III. </w:t>
      </w:r>
      <w:r w:rsidRPr="00862128">
        <w:rPr>
          <w:rFonts w:ascii="Times New Roman" w:hAnsi="Times New Roman"/>
          <w:b/>
          <w:bCs/>
          <w:color w:val="auto"/>
          <w:sz w:val="28"/>
          <w:szCs w:val="28"/>
        </w:rPr>
        <w:t>DECISIÓN</w:t>
      </w:r>
      <w:bookmarkEnd w:id="25"/>
    </w:p>
    <w:p w:rsidR="005B2FF1"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sz w:val="28"/>
          <w:szCs w:val="28"/>
        </w:rPr>
      </w:pPr>
    </w:p>
    <w:p w:rsidR="005B2FF1" w:rsidRPr="00862128" w:rsidRDefault="00862128" w:rsidP="00BE5143">
      <w:pPr>
        <w:jc w:val="both"/>
        <w:rPr>
          <w:rFonts w:ascii="Times New Roman" w:hAnsi="Times New Roman"/>
          <w:sz w:val="28"/>
          <w:szCs w:val="28"/>
          <w:lang w:eastAsia="es-ES"/>
        </w:rPr>
      </w:pPr>
      <w:r w:rsidRPr="00862128">
        <w:rPr>
          <w:rFonts w:ascii="Times New Roman" w:hAnsi="Times New Roman"/>
          <w:sz w:val="28"/>
          <w:szCs w:val="28"/>
          <w:lang w:eastAsia="es-ES"/>
        </w:rPr>
        <w:t xml:space="preserve">En mérito de lo expuesto, la Sala Plena de la Corte Constitucional, administrando justicia en nombre del pueblo y por mandato de la Constitución, </w:t>
      </w:r>
    </w:p>
    <w:p w:rsidR="005B2FF1" w:rsidRPr="00862128" w:rsidRDefault="00862128" w:rsidP="00BE5143">
      <w:pPr>
        <w:jc w:val="both"/>
        <w:rPr>
          <w:rFonts w:ascii="Times New Roman" w:hAnsi="Times New Roman"/>
          <w:sz w:val="28"/>
          <w:szCs w:val="28"/>
          <w:lang w:eastAsia="es-ES"/>
        </w:rPr>
      </w:pPr>
    </w:p>
    <w:p w:rsidR="005B2FF1" w:rsidRPr="00862128" w:rsidRDefault="00862128" w:rsidP="00BE5143">
      <w:pPr>
        <w:jc w:val="center"/>
        <w:rPr>
          <w:rFonts w:ascii="Times New Roman" w:hAnsi="Times New Roman"/>
          <w:b/>
          <w:bCs/>
          <w:sz w:val="28"/>
          <w:szCs w:val="28"/>
          <w:lang w:eastAsia="es-ES"/>
        </w:rPr>
      </w:pPr>
      <w:r w:rsidRPr="00862128">
        <w:rPr>
          <w:rFonts w:ascii="Times New Roman" w:hAnsi="Times New Roman"/>
          <w:b/>
          <w:bCs/>
          <w:sz w:val="28"/>
          <w:szCs w:val="28"/>
          <w:lang w:eastAsia="es-ES"/>
        </w:rPr>
        <w:t>RESUELVE</w:t>
      </w:r>
    </w:p>
    <w:p w:rsidR="004D0766"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Cs/>
          <w:sz w:val="28"/>
          <w:szCs w:val="28"/>
        </w:rPr>
      </w:pPr>
    </w:p>
    <w:p w:rsidR="005B2FF1"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Cs/>
          <w:sz w:val="28"/>
          <w:szCs w:val="28"/>
        </w:rPr>
      </w:pPr>
      <w:r w:rsidRPr="00862128">
        <w:rPr>
          <w:rFonts w:ascii="Times New Roman" w:hAnsi="Times New Roman"/>
          <w:b/>
          <w:sz w:val="28"/>
          <w:szCs w:val="28"/>
        </w:rPr>
        <w:t>ÚNICO</w:t>
      </w:r>
      <w:r w:rsidRPr="00862128">
        <w:rPr>
          <w:rFonts w:ascii="Times New Roman" w:hAnsi="Times New Roman"/>
          <w:bCs/>
          <w:sz w:val="28"/>
          <w:szCs w:val="28"/>
        </w:rPr>
        <w:t xml:space="preserve">. Declararse </w:t>
      </w:r>
      <w:r w:rsidRPr="00862128">
        <w:rPr>
          <w:rFonts w:ascii="Times New Roman" w:hAnsi="Times New Roman"/>
          <w:b/>
          <w:sz w:val="28"/>
          <w:szCs w:val="28"/>
        </w:rPr>
        <w:t>INHIBIDA</w:t>
      </w:r>
      <w:r w:rsidRPr="00862128">
        <w:rPr>
          <w:rFonts w:ascii="Times New Roman" w:hAnsi="Times New Roman"/>
          <w:bCs/>
          <w:sz w:val="28"/>
          <w:szCs w:val="28"/>
        </w:rPr>
        <w:t xml:space="preserve"> para emitir un pronunciamiento de fondo sobre los cargos formulados por</w:t>
      </w:r>
      <w:r w:rsidRPr="00862128">
        <w:rPr>
          <w:rFonts w:ascii="Times New Roman" w:hAnsi="Times New Roman"/>
          <w:bCs/>
          <w:sz w:val="28"/>
          <w:szCs w:val="28"/>
        </w:rPr>
        <w:t xml:space="preserve"> el ciudadano Juan Carlos Esguerra Portocarrero contra la </w:t>
      </w:r>
      <w:r w:rsidRPr="00862128">
        <w:rPr>
          <w:rFonts w:ascii="Times New Roman" w:hAnsi="Times New Roman"/>
          <w:bCs/>
          <w:sz w:val="28"/>
          <w:szCs w:val="28"/>
        </w:rPr>
        <w:t>expresión “firma electrónica” contenida en el parágrafo 3 del artículo 45 de la Ley 1480 de 2011, “[p]or medio de la cual se expide el Estatuto del Consumidor y se dictan otras disposiciones”, parág</w:t>
      </w:r>
      <w:r w:rsidRPr="00862128">
        <w:rPr>
          <w:rFonts w:ascii="Times New Roman" w:hAnsi="Times New Roman"/>
          <w:bCs/>
          <w:sz w:val="28"/>
          <w:szCs w:val="28"/>
        </w:rPr>
        <w:t>rafo adicionado por el artículo 7 de la Ley 2439 de 2024</w:t>
      </w:r>
      <w:r w:rsidRPr="00862128">
        <w:rPr>
          <w:rFonts w:ascii="Times New Roman" w:hAnsi="Times New Roman"/>
          <w:bCs/>
          <w:sz w:val="28"/>
          <w:szCs w:val="28"/>
        </w:rPr>
        <w:t xml:space="preserve">, por </w:t>
      </w:r>
      <w:r w:rsidRPr="00862128">
        <w:rPr>
          <w:rFonts w:ascii="Times New Roman" w:hAnsi="Times New Roman"/>
          <w:bCs/>
          <w:sz w:val="28"/>
          <w:szCs w:val="28"/>
        </w:rPr>
        <w:t xml:space="preserve">ineptitud sustantiva de la demanda de conformidad con </w:t>
      </w:r>
      <w:r w:rsidRPr="00862128">
        <w:rPr>
          <w:rFonts w:ascii="Times New Roman" w:hAnsi="Times New Roman"/>
          <w:bCs/>
          <w:sz w:val="28"/>
          <w:szCs w:val="28"/>
        </w:rPr>
        <w:t>las razones expuestas en esta providencia.</w:t>
      </w:r>
    </w:p>
    <w:p w:rsidR="00901CF2"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Cs/>
          <w:sz w:val="28"/>
          <w:szCs w:val="28"/>
        </w:rPr>
      </w:pPr>
    </w:p>
    <w:p w:rsidR="005B2FF1"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Cs/>
          <w:sz w:val="28"/>
          <w:szCs w:val="28"/>
        </w:rPr>
      </w:pPr>
    </w:p>
    <w:p w:rsidR="00DA4B1E" w:rsidRPr="00862128" w:rsidRDefault="00862128" w:rsidP="00BE5143">
      <w:pPr>
        <w:pStyle w:val="Prrafodelista"/>
        <w:tabs>
          <w:tab w:val="left" w:pos="426"/>
        </w:tabs>
        <w:autoSpaceDE w:val="0"/>
        <w:autoSpaceDN w:val="0"/>
        <w:ind w:left="0"/>
        <w:contextualSpacing w:val="0"/>
        <w:jc w:val="both"/>
        <w:textAlignment w:val="baseline"/>
        <w:rPr>
          <w:rFonts w:ascii="Times New Roman" w:hAnsi="Times New Roman"/>
          <w:bCs/>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JORGE ENRIQUE IBÁÑEZ NAJAR</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Presidente</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NATALIA ÁNGEL CABO</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Magistrada</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CARLOS CAMARGO ASSIS</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Magistrado</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HECTOR ALFONSO CARVAJAL LONDOÑO</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Magistrado</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JUAN CARLOS CORTÉS GONZÁLEZ</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Magistrado</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LINA MARCELA ESCOBAR MARTÍNEZ</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Magistrada</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VLADIMIR FERNÁNDEZ ANDRADE</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Magistrado</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PAOLA ANDREA MENESES MOSQUERA</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Magistrada</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MIGUEL POLO ROSERO</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Magistrado</w:t>
      </w: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DA4B1E"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ANDREA LILIANA ROMERO LOPEZ</w:t>
      </w:r>
    </w:p>
    <w:p w:rsidR="002249C2" w:rsidRPr="00862128" w:rsidRDefault="00862128" w:rsidP="002249C2">
      <w:pPr>
        <w:pStyle w:val="Prrafodelista"/>
        <w:tabs>
          <w:tab w:val="left" w:pos="426"/>
        </w:tabs>
        <w:autoSpaceDE w:val="0"/>
        <w:autoSpaceDN w:val="0"/>
        <w:ind w:left="0"/>
        <w:contextualSpacing w:val="0"/>
        <w:jc w:val="center"/>
        <w:textAlignment w:val="baseline"/>
        <w:rPr>
          <w:rFonts w:ascii="Times New Roman" w:hAnsi="Times New Roman"/>
          <w:sz w:val="28"/>
          <w:szCs w:val="28"/>
        </w:rPr>
      </w:pPr>
      <w:r w:rsidRPr="00862128">
        <w:rPr>
          <w:rFonts w:ascii="Times New Roman" w:hAnsi="Times New Roman"/>
          <w:sz w:val="28"/>
          <w:szCs w:val="28"/>
        </w:rPr>
        <w:t>Secretaria General</w:t>
      </w:r>
    </w:p>
    <w:sectPr w:rsidR="002249C2" w:rsidRPr="00862128">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862128">
      <w:pPr>
        <w:spacing w:after="0" w:line="240" w:lineRule="auto"/>
      </w:pPr>
      <w:r>
        <w:separator/>
      </w:r>
    </w:p>
  </w:endnote>
  <w:endnote w:type="continuationSeparator" w:id="0">
    <w:p w:rsidR="00000000" w:rsidRDefault="0086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Cuerpo en alf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auto"/>
    <w:pitch w:val="variable"/>
    <w:sig w:usb0="E00002FF" w:usb1="5000785B" w:usb2="00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862128">
      <w:pPr>
        <w:spacing w:after="0" w:line="240" w:lineRule="auto"/>
      </w:pPr>
      <w:r>
        <w:separator/>
      </w:r>
    </w:p>
  </w:footnote>
  <w:footnote w:type="continuationSeparator" w:id="0">
    <w:p w:rsidR="00000000" w:rsidRDefault="00862128">
      <w:pPr>
        <w:spacing w:after="0" w:line="240" w:lineRule="auto"/>
      </w:pPr>
      <w:r>
        <w:continuationSeparator/>
      </w:r>
    </w:p>
  </w:footnote>
  <w:footnote w:id="1">
    <w:p w:rsidR="00705B83"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Expediente digital, archivo “</w:t>
      </w:r>
      <w:r w:rsidRPr="00862128">
        <w:rPr>
          <w:color w:val="000000"/>
          <w:szCs w:val="20"/>
        </w:rPr>
        <w:t>Demanda ciudadana</w:t>
      </w:r>
      <w:r w:rsidRPr="00862128">
        <w:rPr>
          <w:color w:val="000000"/>
          <w:szCs w:val="20"/>
        </w:rPr>
        <w:t>”</w:t>
      </w:r>
      <w:r w:rsidRPr="00862128">
        <w:rPr>
          <w:color w:val="000000"/>
          <w:szCs w:val="20"/>
          <w:lang w:val="es-ES"/>
        </w:rPr>
        <w:t xml:space="preserve">. </w:t>
      </w:r>
      <w:r w:rsidRPr="00862128">
        <w:rPr>
          <w:color w:val="000000"/>
          <w:szCs w:val="20"/>
        </w:rPr>
        <w:t xml:space="preserve">Disponible en: </w:t>
      </w:r>
      <w:hyperlink r:id="rId1" w:history="1">
        <w:r w:rsidRPr="00862128">
          <w:rPr>
            <w:rStyle w:val="Hipervnculo"/>
            <w:color w:val="000000"/>
            <w:szCs w:val="20"/>
          </w:rPr>
          <w:t>https://www.corteconst</w:t>
        </w:r>
        <w:r w:rsidRPr="00862128">
          <w:rPr>
            <w:rStyle w:val="Hipervnculo"/>
            <w:color w:val="000000"/>
            <w:szCs w:val="20"/>
          </w:rPr>
          <w:t>itucional.gov.co/secretaria/expediente?proceso=1&amp;expediente=D0016557</w:t>
        </w:r>
      </w:hyperlink>
      <w:r w:rsidRPr="00862128">
        <w:rPr>
          <w:color w:val="000000"/>
          <w:szCs w:val="20"/>
        </w:rPr>
        <w:t>.</w:t>
      </w:r>
    </w:p>
  </w:footnote>
  <w:footnote w:id="2">
    <w:p w:rsidR="00A02C88" w:rsidRPr="00862128" w:rsidRDefault="00862128" w:rsidP="00F013FA">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w:t>
      </w:r>
      <w:r w:rsidRPr="00862128" w:rsidDel="00F013FA">
        <w:rPr>
          <w:color w:val="000000"/>
          <w:szCs w:val="20"/>
        </w:rPr>
        <w:t xml:space="preserve"> </w:t>
      </w:r>
    </w:p>
  </w:footnote>
  <w:footnote w:id="3">
    <w:p w:rsidR="00A02C88" w:rsidRPr="00862128" w:rsidRDefault="00862128" w:rsidP="00F013FA">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w:t>
      </w:r>
      <w:r w:rsidRPr="00862128" w:rsidDel="00F013FA">
        <w:rPr>
          <w:color w:val="000000"/>
          <w:szCs w:val="20"/>
        </w:rPr>
        <w:t xml:space="preserve"> </w:t>
      </w:r>
    </w:p>
  </w:footnote>
  <w:footnote w:id="4">
    <w:p w:rsidR="00A02C88"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Expediente </w:t>
      </w:r>
      <w:r w:rsidRPr="00862128">
        <w:rPr>
          <w:color w:val="000000"/>
          <w:szCs w:val="20"/>
        </w:rPr>
        <w:t>digital</w:t>
      </w:r>
      <w:r w:rsidRPr="00862128">
        <w:rPr>
          <w:color w:val="000000"/>
          <w:szCs w:val="20"/>
        </w:rPr>
        <w:t xml:space="preserve">, archivo “Constancia de fijación en lista”. Disponible en: </w:t>
      </w:r>
      <w:hyperlink r:id="rId2" w:history="1">
        <w:r w:rsidRPr="00862128">
          <w:rPr>
            <w:rStyle w:val="Hipervnculo"/>
            <w:color w:val="000000"/>
            <w:szCs w:val="20"/>
          </w:rPr>
          <w:t>https://www.corteconstitucional.gov.co/secretaria/expediente?proceso=1&amp;expediente=D0016557</w:t>
        </w:r>
      </w:hyperlink>
      <w:r w:rsidRPr="00862128">
        <w:rPr>
          <w:color w:val="000000"/>
          <w:szCs w:val="20"/>
        </w:rPr>
        <w:t xml:space="preserve">. </w:t>
      </w:r>
    </w:p>
  </w:footnote>
  <w:footnote w:id="5">
    <w:p w:rsidR="00A10D26" w:rsidRPr="00975D97" w:rsidRDefault="00862128" w:rsidP="003664DF">
      <w:pPr>
        <w:jc w:val="both"/>
      </w:pPr>
      <w:r w:rsidRPr="00975D97">
        <w:rPr>
          <w:rStyle w:val="Refdenotaalpie"/>
        </w:rPr>
        <w:footnoteRef/>
      </w:r>
      <w:r w:rsidRPr="00975D97">
        <w:t xml:space="preserve"> </w:t>
      </w:r>
      <w:r w:rsidRPr="00975D97">
        <w:rPr>
          <w:rFonts w:ascii="Times New Roman" w:hAnsi="Times New Roman"/>
          <w:sz w:val="20"/>
          <w:szCs w:val="20"/>
        </w:rPr>
        <w:t xml:space="preserve">Ley 2439 de 2024 </w:t>
      </w:r>
      <w:r w:rsidRPr="00975D97">
        <w:rPr>
          <w:rFonts w:ascii="Times New Roman" w:hAnsi="Times New Roman"/>
          <w:sz w:val="20"/>
          <w:szCs w:val="20"/>
        </w:rPr>
        <w:t>(diciembre 19)</w:t>
      </w:r>
      <w:r w:rsidRPr="00975D97">
        <w:rPr>
          <w:rFonts w:ascii="Times New Roman" w:hAnsi="Times New Roman"/>
          <w:sz w:val="20"/>
          <w:szCs w:val="20"/>
        </w:rPr>
        <w:t xml:space="preserve"> </w:t>
      </w:r>
      <w:r w:rsidRPr="00975D97">
        <w:rPr>
          <w:rFonts w:ascii="Times New Roman" w:hAnsi="Times New Roman"/>
          <w:sz w:val="20"/>
          <w:szCs w:val="20"/>
        </w:rPr>
        <w:t xml:space="preserve">Por medio de la cual se </w:t>
      </w:r>
      <w:r w:rsidRPr="00975D97">
        <w:rPr>
          <w:rFonts w:ascii="Times New Roman" w:hAnsi="Times New Roman"/>
          <w:sz w:val="20"/>
          <w:szCs w:val="20"/>
        </w:rPr>
        <w:t>modifica la Ley 1480 de 2011 y se crean medidas de protección en favor del consumidor de comercio electrónico. Publicada en el  Diario Oficial No. 52.975 de 19 de diciembre de 2024.</w:t>
      </w:r>
    </w:p>
  </w:footnote>
  <w:footnote w:id="6">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Expediente digital, archivo “</w:t>
      </w:r>
      <w:r w:rsidRPr="00862128">
        <w:rPr>
          <w:color w:val="000000"/>
          <w:szCs w:val="20"/>
        </w:rPr>
        <w:t>Demanda ciudadana”</w:t>
      </w:r>
      <w:r w:rsidRPr="00862128">
        <w:rPr>
          <w:color w:val="000000"/>
          <w:szCs w:val="20"/>
          <w:lang w:val="es-ES"/>
        </w:rPr>
        <w:t xml:space="preserve">, p. 24. </w:t>
      </w:r>
      <w:r w:rsidRPr="00862128">
        <w:rPr>
          <w:color w:val="000000"/>
          <w:szCs w:val="20"/>
        </w:rPr>
        <w:t xml:space="preserve">Disponible en: </w:t>
      </w:r>
      <w:hyperlink r:id="rId3" w:history="1">
        <w:r w:rsidRPr="00862128">
          <w:rPr>
            <w:rStyle w:val="Hipervnculo"/>
            <w:color w:val="000000"/>
            <w:szCs w:val="20"/>
          </w:rPr>
          <w:t>https://www.corteconstitucional.gov.co/secretaria/expediente?proceso=1&amp;expediente=D0016557</w:t>
        </w:r>
      </w:hyperlink>
    </w:p>
  </w:footnote>
  <w:footnote w:id="7">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“Auto que Inadmite la demanda</w:t>
      </w:r>
      <w:r w:rsidRPr="00862128">
        <w:rPr>
          <w:color w:val="000000"/>
          <w:szCs w:val="20"/>
        </w:rPr>
        <w:t xml:space="preserve">”.  </w:t>
      </w:r>
      <w:r w:rsidRPr="00862128">
        <w:rPr>
          <w:color w:val="000000"/>
          <w:szCs w:val="20"/>
        </w:rPr>
        <w:t xml:space="preserve">Disponible en: </w:t>
      </w:r>
      <w:hyperlink r:id="rId4" w:history="1">
        <w:r w:rsidRPr="00862128">
          <w:rPr>
            <w:rStyle w:val="Hipervnculo"/>
            <w:color w:val="000000"/>
            <w:szCs w:val="20"/>
          </w:rPr>
          <w:t>https://www.corteconstitucional.gov.co/secretaria/expediente?proceso=1&amp;expediente=D0016557</w:t>
        </w:r>
      </w:hyperlink>
    </w:p>
  </w:footnote>
  <w:footnote w:id="8">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 xml:space="preserve">Para ese entonces el despacho estaba </w:t>
      </w:r>
      <w:r w:rsidRPr="00862128">
        <w:rPr>
          <w:color w:val="000000"/>
          <w:szCs w:val="20"/>
          <w:lang w:val="es-ES"/>
        </w:rPr>
        <w:t>a cargo de la magistrada Diana Fajardo Rivera.</w:t>
      </w:r>
    </w:p>
  </w:footnote>
  <w:footnote w:id="9">
    <w:p w:rsidR="00800272"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color w:val="000000"/>
          <w:szCs w:val="20"/>
        </w:rPr>
        <w:t xml:space="preserve">Expediente digital, archivo “Corrección a la demanda”. </w:t>
      </w:r>
      <w:r w:rsidRPr="00862128">
        <w:rPr>
          <w:color w:val="000000"/>
          <w:szCs w:val="20"/>
        </w:rPr>
        <w:t xml:space="preserve">Disponible en: </w:t>
      </w:r>
      <w:hyperlink r:id="rId5" w:history="1">
        <w:r w:rsidRPr="00862128">
          <w:rPr>
            <w:rStyle w:val="Hipervnculo"/>
            <w:color w:val="000000"/>
            <w:szCs w:val="20"/>
          </w:rPr>
          <w:t>https://www.corteconstituciona</w:t>
        </w:r>
        <w:r w:rsidRPr="00862128">
          <w:rPr>
            <w:rStyle w:val="Hipervnculo"/>
            <w:color w:val="000000"/>
            <w:szCs w:val="20"/>
          </w:rPr>
          <w:t>l.gov.co/secretaria/expediente?proceso=1&amp;expediente=D0016557</w:t>
        </w:r>
      </w:hyperlink>
    </w:p>
  </w:footnote>
  <w:footnote w:id="10">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Información contenida en el informe secretarial remitido al despacho sustanciador el 11 de junio de 2025. Expediente digital, archivo “</w:t>
      </w:r>
      <w:r w:rsidRPr="00862128">
        <w:rPr>
          <w:color w:val="000000"/>
          <w:szCs w:val="20"/>
        </w:rPr>
        <w:t xml:space="preserve">D0016557. Informe a despacho”. </w:t>
      </w:r>
    </w:p>
  </w:footnote>
  <w:footnote w:id="11">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“Corrección a la demanda”, p. 8.</w:t>
      </w:r>
    </w:p>
  </w:footnote>
  <w:footnote w:id="12">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xml:space="preserve">, p. 9. </w:t>
      </w:r>
    </w:p>
  </w:footnote>
  <w:footnote w:id="13">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Decreto 2555 de 2010, “[p]or</w:t>
      </w:r>
      <w:r w:rsidRPr="00862128">
        <w:rPr>
          <w:color w:val="000000"/>
          <w:szCs w:val="20"/>
          <w:lang w:val="es-ES"/>
        </w:rPr>
        <w:t xml:space="preserve"> el cual se recogen y reexpiden las normas en materia del sector financiero, asegurador y del mercado de valores y se dictan otras disposiciones”, art. </w:t>
      </w:r>
      <w:r w:rsidRPr="00862128">
        <w:rPr>
          <w:color w:val="000000"/>
          <w:szCs w:val="20"/>
        </w:rPr>
        <w:t>11.2.5.1.2.</w:t>
      </w:r>
    </w:p>
  </w:footnote>
  <w:footnote w:id="14">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“Corrección a la demanda”, p. 12. </w:t>
      </w:r>
    </w:p>
  </w:footnote>
  <w:footnote w:id="15">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p. 12. </w:t>
      </w:r>
    </w:p>
  </w:footnote>
  <w:footnote w:id="16">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w:t>
      </w:r>
      <w:r w:rsidRPr="00862128">
        <w:rPr>
          <w:color w:val="000000"/>
          <w:szCs w:val="20"/>
          <w:lang w:val="pt-BR"/>
        </w:rPr>
        <w:t xml:space="preserve"> </w:t>
      </w:r>
    </w:p>
  </w:footnote>
  <w:footnote w:id="17">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w:t>
      </w:r>
    </w:p>
  </w:footnote>
  <w:footnote w:id="18">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p. 13. </w:t>
      </w:r>
    </w:p>
  </w:footnote>
  <w:footnote w:id="19">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p. 2. </w:t>
      </w:r>
    </w:p>
  </w:footnote>
  <w:footnote w:id="20">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p. 16. </w:t>
      </w:r>
    </w:p>
  </w:footnote>
  <w:footnote w:id="21">
    <w:p w:rsidR="00800272"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w:t>
      </w:r>
      <w:r w:rsidRPr="00862128">
        <w:rPr>
          <w:i/>
          <w:iCs/>
          <w:color w:val="000000"/>
          <w:szCs w:val="20"/>
          <w:lang w:val="pt-BR"/>
        </w:rPr>
        <w:t>Ibidem</w:t>
      </w:r>
      <w:r w:rsidRPr="00862128">
        <w:rPr>
          <w:color w:val="000000"/>
          <w:szCs w:val="20"/>
          <w:lang w:val="pt-BR"/>
        </w:rPr>
        <w:t xml:space="preserve">, p. 4. </w:t>
      </w:r>
    </w:p>
  </w:footnote>
  <w:footnote w:id="22">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
        </w:rPr>
        <w:t xml:space="preserve">Decreto 1074 de 2015, “[p]or medio del </w:t>
      </w:r>
      <w:r w:rsidRPr="00862128">
        <w:rPr>
          <w:color w:val="000000"/>
          <w:szCs w:val="20"/>
          <w:lang w:val="es-ES"/>
        </w:rPr>
        <w:t>cual</w:t>
      </w:r>
      <w:r w:rsidRPr="00862128">
        <w:rPr>
          <w:color w:val="000000"/>
          <w:szCs w:val="20"/>
          <w:lang w:val="es-ES"/>
        </w:rPr>
        <w:t xml:space="preserve"> [sic] se expide el Decreto Único Reglamentario del Sector Comercio, Industria y Turismo”, art. 2.2.2.35.5. </w:t>
      </w:r>
    </w:p>
  </w:footnote>
  <w:footnote w:id="23">
    <w:p w:rsidR="00800272" w:rsidRPr="00862128" w:rsidRDefault="00862128" w:rsidP="003229EE">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“Corrección a la demanda”, p. 5. </w:t>
      </w:r>
    </w:p>
  </w:footnote>
  <w:footnote w:id="24">
    <w:p w:rsidR="00251D73"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Los artículos 244 de la Constitución y 11 del Decreto 2067 de 1991 disponen que es deber de la Corte Constitucional comunicar “al presidente de la República o al presidente del Congreso, segú</w:t>
      </w:r>
      <w:r w:rsidRPr="00862128">
        <w:rPr>
          <w:color w:val="000000"/>
          <w:szCs w:val="20"/>
        </w:rPr>
        <w:t>n el caso, la iniciación de cualquier proceso que tenga por objeto el examen de constitucionalidad de normas dictadas por ellos”. Esta comunicación, que se debe extender en el auto admisorio de la demanda, pretende que las respectivas autoridades rindan su</w:t>
      </w:r>
      <w:r w:rsidRPr="00862128">
        <w:rPr>
          <w:color w:val="000000"/>
          <w:szCs w:val="20"/>
        </w:rPr>
        <w:t xml:space="preserve"> concepto para justificar “la constitucionalidad de las normas sometidas a control” (apartado final del inciso segundo del artículo 11 del Decreto 2067 de 1991), la cual también puede hacerse extensiva “a los organismos o entidades del Estado que hubieren </w:t>
      </w:r>
      <w:r w:rsidRPr="00862128">
        <w:rPr>
          <w:color w:val="000000"/>
          <w:szCs w:val="20"/>
        </w:rPr>
        <w:t>participado en la elaboración o expedición de la norma”.</w:t>
      </w:r>
    </w:p>
  </w:footnote>
  <w:footnote w:id="25">
    <w:p w:rsidR="009A1512"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El artículo 13 del Decreto 2067 de 1991 faculta al magistrado sustanciador para invitar “a entidades públicas, a organizaciones privadas y a expertos en las materias relacionadas con el tema del pr</w:t>
      </w:r>
      <w:r w:rsidRPr="00862128">
        <w:rPr>
          <w:color w:val="000000"/>
          <w:szCs w:val="20"/>
        </w:rPr>
        <w:t>oceso” a conceptuar sobre aspectos relevantes para la elaboración del proyecto de fallo.</w:t>
      </w:r>
    </w:p>
  </w:footnote>
  <w:footnote w:id="26">
    <w:p w:rsidR="00DF73C3" w:rsidRPr="00862128" w:rsidRDefault="00862128" w:rsidP="003229EE">
      <w:pPr>
        <w:pStyle w:val="Prrafonumerado"/>
        <w:numPr>
          <w:ilvl w:val="0"/>
          <w:numId w:val="0"/>
        </w:numPr>
        <w:tabs>
          <w:tab w:val="clear" w:pos="426"/>
          <w:tab w:val="left" w:pos="567"/>
        </w:tabs>
        <w:rPr>
          <w:color w:val="000000"/>
          <w:sz w:val="20"/>
          <w:szCs w:val="20"/>
        </w:rPr>
      </w:pPr>
      <w:r w:rsidRPr="00862128">
        <w:rPr>
          <w:rStyle w:val="Refdenotaalpie"/>
          <w:color w:val="000000"/>
          <w:sz w:val="20"/>
          <w:szCs w:val="20"/>
        </w:rPr>
        <w:footnoteRef/>
      </w:r>
      <w:r w:rsidRPr="00862128">
        <w:rPr>
          <w:color w:val="000000"/>
          <w:sz w:val="20"/>
          <w:szCs w:val="20"/>
        </w:rPr>
        <w:t xml:space="preserve"> El artículo 242</w:t>
      </w:r>
      <w:r w:rsidRPr="00862128">
        <w:rPr>
          <w:color w:val="000000"/>
          <w:sz w:val="20"/>
          <w:szCs w:val="20"/>
        </w:rPr>
        <w:t xml:space="preserve"> numeral </w:t>
      </w:r>
      <w:r w:rsidRPr="00862128">
        <w:rPr>
          <w:color w:val="000000"/>
          <w:sz w:val="20"/>
          <w:szCs w:val="20"/>
        </w:rPr>
        <w:t xml:space="preserve">1 de la Constitución y el artículo 7 del Decreto 2067 de 1991 </w:t>
      </w:r>
      <w:r w:rsidRPr="00862128">
        <w:rPr>
          <w:color w:val="000000"/>
          <w:sz w:val="20"/>
          <w:szCs w:val="20"/>
        </w:rPr>
        <w:t>les</w:t>
      </w:r>
      <w:r w:rsidRPr="00862128">
        <w:rPr>
          <w:color w:val="000000"/>
          <w:sz w:val="20"/>
          <w:szCs w:val="20"/>
        </w:rPr>
        <w:t xml:space="preserve"> otorga</w:t>
      </w:r>
      <w:r w:rsidRPr="00862128">
        <w:rPr>
          <w:color w:val="000000"/>
          <w:sz w:val="20"/>
          <w:szCs w:val="20"/>
        </w:rPr>
        <w:t>n</w:t>
      </w:r>
      <w:r w:rsidRPr="00862128">
        <w:rPr>
          <w:color w:val="000000"/>
          <w:sz w:val="20"/>
          <w:szCs w:val="20"/>
        </w:rPr>
        <w:t xml:space="preserve"> a los ciudadanos el derecho procesal de intervenir en los trámites de constitucionalidad que se surten ante la Corte, con la finalidad de impugnar o defender las normas objeto de revisión. Respecto de las intervenciones ciudadanas, el término de fijación </w:t>
      </w:r>
      <w:r w:rsidRPr="00862128">
        <w:rPr>
          <w:color w:val="000000"/>
          <w:sz w:val="20"/>
          <w:szCs w:val="20"/>
        </w:rPr>
        <w:t xml:space="preserve">en lista transcurrió entre los días </w:t>
      </w:r>
      <w:r w:rsidRPr="00862128">
        <w:rPr>
          <w:color w:val="000000"/>
          <w:sz w:val="20"/>
          <w:szCs w:val="20"/>
        </w:rPr>
        <w:t xml:space="preserve">7 </w:t>
      </w:r>
      <w:r w:rsidRPr="00862128">
        <w:rPr>
          <w:color w:val="000000"/>
          <w:sz w:val="20"/>
          <w:szCs w:val="20"/>
        </w:rPr>
        <w:t>al 18 de julio de 2025</w:t>
      </w:r>
      <w:r w:rsidRPr="00862128">
        <w:rPr>
          <w:color w:val="000000"/>
          <w:sz w:val="20"/>
          <w:szCs w:val="20"/>
        </w:rPr>
        <w:t>, según certificó la Secretaría General de la Corte.</w:t>
      </w:r>
    </w:p>
  </w:footnote>
  <w:footnote w:id="27">
    <w:p w:rsidR="00BD452F"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color w:val="000000"/>
          <w:szCs w:val="20"/>
        </w:rPr>
        <w:t xml:space="preserve">Por fuera </w:t>
      </w:r>
      <w:r w:rsidRPr="00862128">
        <w:rPr>
          <w:color w:val="000000"/>
          <w:szCs w:val="20"/>
        </w:rPr>
        <w:t xml:space="preserve">del término de fijación en lista se </w:t>
      </w:r>
      <w:r w:rsidRPr="00862128">
        <w:rPr>
          <w:color w:val="000000"/>
          <w:szCs w:val="20"/>
        </w:rPr>
        <w:t>recibieron</w:t>
      </w:r>
      <w:r w:rsidRPr="00862128">
        <w:rPr>
          <w:color w:val="000000"/>
          <w:szCs w:val="20"/>
        </w:rPr>
        <w:t xml:space="preserve"> las siguientes intervenciones: </w:t>
      </w:r>
      <w:r w:rsidRPr="00862128">
        <w:rPr>
          <w:bCs/>
          <w:color w:val="000000"/>
          <w:szCs w:val="20"/>
        </w:rPr>
        <w:t>Ministerio de Comercio, Industria y Turismo</w:t>
      </w:r>
      <w:r w:rsidRPr="00862128">
        <w:rPr>
          <w:bCs/>
          <w:color w:val="000000"/>
          <w:szCs w:val="20"/>
        </w:rPr>
        <w:t xml:space="preserve"> (21 de ju</w:t>
      </w:r>
      <w:r w:rsidRPr="00862128">
        <w:rPr>
          <w:bCs/>
          <w:color w:val="000000"/>
          <w:szCs w:val="20"/>
        </w:rPr>
        <w:t xml:space="preserve">lio), </w:t>
      </w:r>
      <w:r w:rsidRPr="00862128">
        <w:rPr>
          <w:bCs/>
          <w:color w:val="000000"/>
          <w:szCs w:val="20"/>
        </w:rPr>
        <w:t xml:space="preserve">ciudadano </w:t>
      </w:r>
      <w:r w:rsidRPr="00862128">
        <w:rPr>
          <w:color w:val="000000"/>
          <w:szCs w:val="20"/>
        </w:rPr>
        <w:t>Gustavo Adolfo González Van</w:t>
      </w:r>
      <w:r w:rsidRPr="00862128">
        <w:rPr>
          <w:color w:val="000000"/>
          <w:szCs w:val="20"/>
        </w:rPr>
        <w:t xml:space="preserve"> (21 de julio) y</w:t>
      </w:r>
      <w:r w:rsidRPr="00862128">
        <w:rPr>
          <w:bCs/>
          <w:color w:val="000000"/>
          <w:szCs w:val="20"/>
        </w:rPr>
        <w:t xml:space="preserve"> </w:t>
      </w:r>
      <w:r w:rsidRPr="00862128">
        <w:rPr>
          <w:bCs/>
          <w:color w:val="000000"/>
          <w:szCs w:val="20"/>
        </w:rPr>
        <w:t>Banco de la República</w:t>
      </w:r>
      <w:r w:rsidRPr="00862128">
        <w:rPr>
          <w:bCs/>
          <w:color w:val="000000"/>
          <w:szCs w:val="20"/>
        </w:rPr>
        <w:t xml:space="preserve"> (23 de julio).</w:t>
      </w:r>
    </w:p>
  </w:footnote>
  <w:footnote w:id="28">
    <w:p w:rsidR="0039314C"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Expediente digital</w:t>
      </w:r>
      <w:r w:rsidRPr="00862128">
        <w:rPr>
          <w:color w:val="000000"/>
          <w:szCs w:val="20"/>
        </w:rPr>
        <w:t xml:space="preserve">, archivos “Conceptos e </w:t>
      </w:r>
      <w:r w:rsidRPr="00862128">
        <w:rPr>
          <w:color w:val="000000"/>
          <w:szCs w:val="20"/>
        </w:rPr>
        <w:t>I</w:t>
      </w:r>
      <w:r w:rsidRPr="00862128">
        <w:rPr>
          <w:color w:val="000000"/>
          <w:szCs w:val="20"/>
        </w:rPr>
        <w:t>ntervenciones”</w:t>
      </w:r>
      <w:r w:rsidRPr="00862128">
        <w:rPr>
          <w:color w:val="000000"/>
          <w:szCs w:val="20"/>
        </w:rPr>
        <w:t xml:space="preserve">. Disponible en: </w:t>
      </w:r>
      <w:r w:rsidRPr="00862128">
        <w:rPr>
          <w:color w:val="000000"/>
          <w:szCs w:val="20"/>
        </w:rPr>
        <w:t xml:space="preserve"> </w:t>
      </w:r>
      <w:hyperlink r:id="rId6" w:history="1">
        <w:r w:rsidRPr="00862128">
          <w:rPr>
            <w:rStyle w:val="Hipervnculo"/>
            <w:color w:val="000000"/>
            <w:szCs w:val="20"/>
          </w:rPr>
          <w:t>https://www.corteconstitucional.gov.co/secretaria/expediente?proceso=1&amp;expediente=D0016557</w:t>
        </w:r>
      </w:hyperlink>
      <w:r w:rsidRPr="00862128">
        <w:rPr>
          <w:color w:val="000000"/>
          <w:szCs w:val="20"/>
        </w:rPr>
        <w:t xml:space="preserve"> </w:t>
      </w:r>
    </w:p>
  </w:footnote>
  <w:footnote w:id="29">
    <w:p w:rsidR="009B4CA3" w:rsidRPr="00975D97" w:rsidRDefault="00862128" w:rsidP="009B4CA3">
      <w:pPr>
        <w:pStyle w:val="Textonotapie"/>
        <w:rPr>
          <w:lang w:val="es-ES_tradnl"/>
        </w:rPr>
      </w:pPr>
      <w:r w:rsidRPr="00975D97">
        <w:rPr>
          <w:rStyle w:val="Refdenotaalpie"/>
        </w:rPr>
        <w:footnoteRef/>
      </w:r>
      <w:r w:rsidRPr="00975D97">
        <w:t xml:space="preserve"> </w:t>
      </w:r>
      <w:r w:rsidRPr="00975D97">
        <w:rPr>
          <w:lang w:val="es-ES_tradnl"/>
        </w:rPr>
        <w:t xml:space="preserve">Expediente digital, archivo </w:t>
      </w:r>
      <w:hyperlink r:id="rId7" w:tgtFrame="blank" w:history="1">
        <w:r w:rsidRPr="00975D97">
          <w:rPr>
            <w:rStyle w:val="Hipervnculo"/>
          </w:rPr>
          <w:t>D0016557-Conceptos e Intervenciones-(2025-07-20 21-36-51).pdf</w:t>
        </w:r>
      </w:hyperlink>
    </w:p>
  </w:footnote>
  <w:footnote w:id="30">
    <w:p w:rsidR="009B4CA3" w:rsidRPr="00975D97" w:rsidRDefault="00862128" w:rsidP="00F013FA">
      <w:pPr>
        <w:pStyle w:val="Textonotapie"/>
        <w:rPr>
          <w:lang w:val="es-ES_tradnl"/>
        </w:rPr>
      </w:pPr>
      <w:r w:rsidRPr="00975D97">
        <w:rPr>
          <w:rStyle w:val="Refdenotaalpie"/>
        </w:rPr>
        <w:footnoteRef/>
      </w:r>
      <w:r w:rsidRPr="00975D97">
        <w:t xml:space="preserve"> </w:t>
      </w:r>
      <w:r w:rsidRPr="00975D97">
        <w:rPr>
          <w:i/>
          <w:iCs/>
        </w:rPr>
        <w:t>Ibidem</w:t>
      </w:r>
      <w:r w:rsidRPr="00975D97">
        <w:t> </w:t>
      </w:r>
      <w:r w:rsidRPr="00975D97" w:rsidDel="00F013FA">
        <w:rPr>
          <w:lang w:val="es-ES_tradnl"/>
        </w:rPr>
        <w:t xml:space="preserve"> </w:t>
      </w:r>
    </w:p>
  </w:footnote>
  <w:footnote w:id="31">
    <w:p w:rsidR="009B4CA3" w:rsidRPr="00975D97" w:rsidRDefault="00862128" w:rsidP="00F013FA">
      <w:pPr>
        <w:pStyle w:val="Textonotapie"/>
        <w:rPr>
          <w:lang w:val="es-ES_tradnl"/>
        </w:rPr>
      </w:pPr>
      <w:r w:rsidRPr="00975D97">
        <w:rPr>
          <w:rStyle w:val="Refdenotaalpie"/>
        </w:rPr>
        <w:footnoteRef/>
      </w:r>
      <w:r w:rsidRPr="00975D97">
        <w:t xml:space="preserve"> </w:t>
      </w:r>
      <w:r w:rsidRPr="00975D97">
        <w:rPr>
          <w:i/>
          <w:iCs/>
        </w:rPr>
        <w:t>Ibidem</w:t>
      </w:r>
      <w:r w:rsidRPr="00975D97">
        <w:t> </w:t>
      </w:r>
      <w:r w:rsidRPr="00975D97" w:rsidDel="00F013FA">
        <w:rPr>
          <w:lang w:val="es-ES_tradnl"/>
        </w:rPr>
        <w:t xml:space="preserve"> </w:t>
      </w:r>
    </w:p>
  </w:footnote>
  <w:footnote w:id="32">
    <w:p w:rsidR="00B846AE" w:rsidRPr="00975D97" w:rsidRDefault="00862128" w:rsidP="00B846AE">
      <w:pPr>
        <w:pStyle w:val="Textonotapie"/>
      </w:pPr>
      <w:r w:rsidRPr="00975D97">
        <w:rPr>
          <w:rStyle w:val="Refdenotaalpie"/>
        </w:rPr>
        <w:footnoteRef/>
      </w:r>
      <w:r w:rsidRPr="00975D97">
        <w:t xml:space="preserve"> </w:t>
      </w:r>
      <w:r w:rsidRPr="00975D97">
        <w:rPr>
          <w:lang w:val="es-ES_tradnl"/>
        </w:rPr>
        <w:t xml:space="preserve">La expresión </w:t>
      </w:r>
      <w:r w:rsidRPr="00975D97">
        <w:rPr>
          <w:lang w:val="es"/>
        </w:rPr>
        <w:t>“Fintech” es una contracción de las palabras en inglés "</w:t>
      </w:r>
      <w:r w:rsidRPr="00975D97">
        <w:rPr>
          <w:lang w:val="es"/>
        </w:rPr>
        <w:t>finance</w:t>
      </w:r>
      <w:r w:rsidRPr="00975D97">
        <w:rPr>
          <w:lang w:val="es"/>
        </w:rPr>
        <w:t>"</w:t>
      </w:r>
      <w:r w:rsidRPr="00975D97">
        <w:rPr>
          <w:lang w:val="es"/>
        </w:rPr>
        <w:t xml:space="preserve"> (finanzas)</w:t>
      </w:r>
      <w:r w:rsidRPr="00975D97">
        <w:rPr>
          <w:lang w:val="es"/>
        </w:rPr>
        <w:t xml:space="preserve"> y "</w:t>
      </w:r>
      <w:r w:rsidRPr="00975D97">
        <w:rPr>
          <w:lang w:val="es"/>
        </w:rPr>
        <w:t>technology</w:t>
      </w:r>
      <w:r w:rsidRPr="00975D97">
        <w:rPr>
          <w:lang w:val="es"/>
        </w:rPr>
        <w:t>"</w:t>
      </w:r>
      <w:r w:rsidRPr="00975D97">
        <w:rPr>
          <w:lang w:val="es"/>
        </w:rPr>
        <w:t xml:space="preserve"> (tecnología)</w:t>
      </w:r>
      <w:r w:rsidRPr="00975D97">
        <w:rPr>
          <w:lang w:val="es"/>
        </w:rPr>
        <w:t xml:space="preserve">. </w:t>
      </w:r>
      <w:r w:rsidRPr="00975D97">
        <w:rPr>
          <w:lang w:val="es-ES_tradnl"/>
        </w:rPr>
        <w:t xml:space="preserve">Según el Banco Mundial, el término "Fintech" puede definirse de varias maneras. “La Agenda Fintech de Bali, el FSB y otros lo definen ampliamente como "avances en tecnología que tienen el potencial de transformar la provisión </w:t>
      </w:r>
      <w:r w:rsidRPr="00975D97">
        <w:rPr>
          <w:lang w:val="es-ES_tradnl"/>
        </w:rPr>
        <w:t xml:space="preserve">de servicios financieros, impulsando el desarrollo de nuevos modelos de negocio, aplicaciones, procesos y productos" (FMI y Banco Mundial 2019).” </w:t>
      </w:r>
      <w:r w:rsidRPr="00975D97">
        <w:rPr>
          <w:lang w:val="en-US"/>
        </w:rPr>
        <w:t xml:space="preserve">(The World Bank Group (2023) Fintech and the future of finance market and policy implications. </w:t>
      </w:r>
      <w:r w:rsidRPr="00975D97">
        <w:t>Informe escrito</w:t>
      </w:r>
      <w:r w:rsidRPr="00975D97">
        <w:t xml:space="preserve"> por Erik Feyen, Harish Natarajan, Matthew Saal. Página 17)</w:t>
      </w:r>
    </w:p>
    <w:p w:rsidR="00B846AE" w:rsidRPr="00975D97" w:rsidRDefault="00862128">
      <w:pPr>
        <w:pStyle w:val="Textonotapie"/>
      </w:pPr>
    </w:p>
  </w:footnote>
  <w:footnote w:id="33">
    <w:p w:rsidR="006047AE" w:rsidRPr="00975D97" w:rsidRDefault="00862128" w:rsidP="006047AE">
      <w:pPr>
        <w:pStyle w:val="Textonotapie"/>
        <w:rPr>
          <w:lang w:val="pt-BR"/>
        </w:rPr>
      </w:pPr>
      <w:r w:rsidRPr="00975D97">
        <w:rPr>
          <w:rStyle w:val="Refdenotaalpie"/>
        </w:rPr>
        <w:footnoteRef/>
      </w:r>
      <w:r w:rsidRPr="00975D97">
        <w:rPr>
          <w:lang w:val="pt-BR"/>
        </w:rPr>
        <w:t xml:space="preserve"> Expediente digital, archivo </w:t>
      </w:r>
      <w:hyperlink r:id="rId8" w:tgtFrame="blank" w:history="1">
        <w:r w:rsidRPr="00975D97">
          <w:rPr>
            <w:rStyle w:val="Hipervnculo"/>
            <w:lang w:val="pt-BR"/>
          </w:rPr>
          <w:t>d0016557-Conceptos e Intervenciones-(2025-07-18 18-57-20</w:t>
        </w:r>
        <w:r w:rsidRPr="00975D97">
          <w:rPr>
            <w:rStyle w:val="Hipervnculo"/>
            <w:lang w:val="pt-BR"/>
          </w:rPr>
          <w:t>).pdf</w:t>
        </w:r>
      </w:hyperlink>
    </w:p>
  </w:footnote>
  <w:footnote w:id="34">
    <w:p w:rsidR="009B4CA3" w:rsidRPr="00975D97" w:rsidRDefault="00862128" w:rsidP="00F013FA">
      <w:pPr>
        <w:pStyle w:val="Textonotapie"/>
        <w:rPr>
          <w:lang w:val="pt-BR"/>
        </w:rPr>
      </w:pPr>
      <w:r w:rsidRPr="00975D97">
        <w:rPr>
          <w:rStyle w:val="Refdenotaalpie"/>
        </w:rPr>
        <w:footnoteRef/>
      </w:r>
      <w:r w:rsidRPr="00975D97">
        <w:rPr>
          <w:lang w:val="pt-BR"/>
        </w:rPr>
        <w:t xml:space="preserve"> </w:t>
      </w:r>
      <w:r w:rsidRPr="00975D97">
        <w:rPr>
          <w:i/>
          <w:iCs/>
          <w:lang w:val="pt-BR"/>
        </w:rPr>
        <w:t>Ibidem</w:t>
      </w:r>
      <w:r w:rsidRPr="00975D97">
        <w:rPr>
          <w:lang w:val="pt-BR"/>
        </w:rPr>
        <w:t> </w:t>
      </w:r>
      <w:r w:rsidRPr="00975D97" w:rsidDel="00F013FA">
        <w:rPr>
          <w:lang w:val="pt-BR"/>
        </w:rPr>
        <w:t xml:space="preserve"> </w:t>
      </w:r>
    </w:p>
  </w:footnote>
  <w:footnote w:id="35">
    <w:p w:rsidR="009B4CA3" w:rsidRPr="00975D97" w:rsidRDefault="00862128" w:rsidP="00F013FA">
      <w:pPr>
        <w:pStyle w:val="Textonotapie"/>
        <w:rPr>
          <w:lang w:val="pt-BR"/>
        </w:rPr>
      </w:pPr>
      <w:r w:rsidRPr="00975D97">
        <w:rPr>
          <w:rStyle w:val="Refdenotaalpie"/>
        </w:rPr>
        <w:footnoteRef/>
      </w:r>
      <w:r w:rsidRPr="00975D97">
        <w:rPr>
          <w:lang w:val="pt-BR"/>
        </w:rPr>
        <w:t xml:space="preserve"> </w:t>
      </w:r>
      <w:r w:rsidRPr="00975D97">
        <w:rPr>
          <w:i/>
          <w:iCs/>
          <w:lang w:val="pt-BR"/>
        </w:rPr>
        <w:t>Ibidem</w:t>
      </w:r>
      <w:r w:rsidRPr="00975D97">
        <w:rPr>
          <w:lang w:val="pt-BR"/>
        </w:rPr>
        <w:t> </w:t>
      </w:r>
      <w:r w:rsidRPr="00975D97" w:rsidDel="00F013FA">
        <w:rPr>
          <w:lang w:val="pt-BR"/>
        </w:rPr>
        <w:t xml:space="preserve"> </w:t>
      </w:r>
    </w:p>
  </w:footnote>
  <w:footnote w:id="36">
    <w:p w:rsidR="001E34D9" w:rsidRPr="00975D97" w:rsidRDefault="00862128" w:rsidP="001E34D9">
      <w:pPr>
        <w:pStyle w:val="Textonotapie"/>
        <w:rPr>
          <w:lang w:val="pt-BR"/>
        </w:rPr>
      </w:pPr>
      <w:r w:rsidRPr="00975D97">
        <w:rPr>
          <w:rStyle w:val="Refdenotaalpie"/>
        </w:rPr>
        <w:footnoteRef/>
      </w:r>
      <w:r w:rsidRPr="00975D97">
        <w:rPr>
          <w:lang w:val="pt-BR"/>
        </w:rPr>
        <w:t xml:space="preserve"> </w:t>
      </w:r>
      <w:r w:rsidRPr="00975D97">
        <w:rPr>
          <w:i/>
          <w:iCs/>
          <w:lang w:val="pt-BR"/>
        </w:rPr>
        <w:t>Ibidem</w:t>
      </w:r>
      <w:r w:rsidRPr="00975D97">
        <w:rPr>
          <w:lang w:val="pt-BR"/>
        </w:rPr>
        <w:t> </w:t>
      </w:r>
    </w:p>
  </w:footnote>
  <w:footnote w:id="37">
    <w:p w:rsidR="009B4CA3" w:rsidRPr="00975D97" w:rsidRDefault="00862128" w:rsidP="00F013FA">
      <w:pPr>
        <w:pStyle w:val="Textonotapie"/>
        <w:rPr>
          <w:lang w:val="pt-BR"/>
        </w:rPr>
      </w:pPr>
      <w:r w:rsidRPr="00975D97">
        <w:rPr>
          <w:rStyle w:val="Refdenotaalpie"/>
        </w:rPr>
        <w:footnoteRef/>
      </w:r>
      <w:r w:rsidRPr="00975D97">
        <w:rPr>
          <w:lang w:val="pt-BR"/>
        </w:rPr>
        <w:t xml:space="preserve"> </w:t>
      </w:r>
      <w:r w:rsidRPr="00975D97">
        <w:rPr>
          <w:i/>
          <w:iCs/>
          <w:lang w:val="pt-BR"/>
        </w:rPr>
        <w:t>Ibidem</w:t>
      </w:r>
      <w:r w:rsidRPr="00975D97">
        <w:rPr>
          <w:lang w:val="pt-BR"/>
        </w:rPr>
        <w:t> </w:t>
      </w:r>
      <w:r w:rsidRPr="00975D97" w:rsidDel="00F013FA">
        <w:rPr>
          <w:lang w:val="pt-BR"/>
        </w:rPr>
        <w:t xml:space="preserve"> </w:t>
      </w:r>
    </w:p>
  </w:footnote>
  <w:footnote w:id="38">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9" w:tgtFrame="blank" w:history="1">
        <w:r w:rsidRPr="00975D97">
          <w:rPr>
            <w:rStyle w:val="Hipervnculo"/>
            <w:lang w:val="pt-BR"/>
          </w:rPr>
          <w:t>D0016557-Conceptos e Intervenciones-(2025-07-20 22-10-40).pdf</w:t>
        </w:r>
      </w:hyperlink>
    </w:p>
  </w:footnote>
  <w:footnote w:id="39">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10" w:tgtFrame="blank" w:history="1">
        <w:r w:rsidRPr="00975D97">
          <w:rPr>
            <w:rStyle w:val="Hipervnculo"/>
            <w:lang w:val="pt-BR"/>
          </w:rPr>
          <w:t>D0016557-Conceptos e Intervenciones-(2025-07-20 21-33-49).pdf</w:t>
        </w:r>
      </w:hyperlink>
    </w:p>
  </w:footnote>
  <w:footnote w:id="40">
    <w:p w:rsidR="009B4CA3" w:rsidRPr="00975D97" w:rsidRDefault="00862128" w:rsidP="00F013FA">
      <w:pPr>
        <w:pStyle w:val="Textonotapie"/>
        <w:rPr>
          <w:lang w:val="pt-BR"/>
        </w:rPr>
      </w:pPr>
      <w:r w:rsidRPr="00975D97">
        <w:rPr>
          <w:rStyle w:val="Refdenotaalpie"/>
        </w:rPr>
        <w:footnoteRef/>
      </w:r>
      <w:r w:rsidRPr="00975D97">
        <w:rPr>
          <w:lang w:val="pt-BR"/>
        </w:rPr>
        <w:t xml:space="preserve"> </w:t>
      </w:r>
      <w:r w:rsidRPr="00975D97">
        <w:rPr>
          <w:i/>
          <w:iCs/>
          <w:lang w:val="pt-BR"/>
        </w:rPr>
        <w:t>Ibidem</w:t>
      </w:r>
      <w:r w:rsidRPr="00975D97">
        <w:rPr>
          <w:lang w:val="pt-BR"/>
        </w:rPr>
        <w:t> </w:t>
      </w:r>
      <w:r w:rsidRPr="00975D97" w:rsidDel="00F013FA">
        <w:rPr>
          <w:lang w:val="pt-BR"/>
        </w:rPr>
        <w:t xml:space="preserve"> </w:t>
      </w:r>
    </w:p>
  </w:footnote>
  <w:footnote w:id="41">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11" w:tgtFrame="blank" w:history="1">
        <w:r w:rsidRPr="00975D97">
          <w:rPr>
            <w:rStyle w:val="Hipervnculo"/>
            <w:lang w:val="pt-BR"/>
          </w:rPr>
          <w:t>D0016557-Conceptos e Intervenciones-(2025-07-20 22-10-40).pdf</w:t>
        </w:r>
      </w:hyperlink>
    </w:p>
  </w:footnote>
  <w:footnote w:id="42">
    <w:p w:rsidR="009B4CA3" w:rsidRPr="00CE2EC1" w:rsidRDefault="00862128" w:rsidP="009B4CA3">
      <w:pPr>
        <w:pStyle w:val="Textonotapie"/>
      </w:pPr>
      <w:r w:rsidRPr="00975D97">
        <w:rPr>
          <w:rStyle w:val="Refdenotaalpie"/>
        </w:rPr>
        <w:footnoteRef/>
      </w:r>
      <w:r w:rsidRPr="00CE2EC1">
        <w:t xml:space="preserve"> Expediente digital, archivo </w:t>
      </w:r>
      <w:hyperlink r:id="rId12" w:tgtFrame="blank" w:history="1">
        <w:r w:rsidRPr="00CE2EC1">
          <w:rPr>
            <w:rStyle w:val="Hipervnculo"/>
          </w:rPr>
          <w:t>D0016557-Conceptos e Intervenciones-(2025-07-20 21-33-49).pdf</w:t>
        </w:r>
      </w:hyperlink>
    </w:p>
  </w:footnote>
  <w:footnote w:id="43">
    <w:p w:rsidR="009D573D" w:rsidRPr="00975D97" w:rsidRDefault="00862128" w:rsidP="009D573D">
      <w:pPr>
        <w:pStyle w:val="Textonotapie"/>
        <w:rPr>
          <w:szCs w:val="20"/>
        </w:rPr>
      </w:pPr>
      <w:r w:rsidRPr="00975D97">
        <w:rPr>
          <w:rStyle w:val="Refdenotaalpie"/>
          <w:szCs w:val="20"/>
        </w:rPr>
        <w:footnoteRef/>
      </w:r>
      <w:r w:rsidRPr="00975D97">
        <w:rPr>
          <w:szCs w:val="20"/>
        </w:rPr>
        <w:t xml:space="preserve"> </w:t>
      </w:r>
      <w:r w:rsidRPr="00862128">
        <w:rPr>
          <w:color w:val="000000"/>
          <w:szCs w:val="20"/>
        </w:rPr>
        <w:t xml:space="preserve">Expediente digital, archivos “Concepto - Procurador General de la Nación”. Disponible en:  </w:t>
      </w:r>
      <w:hyperlink r:id="rId13" w:history="1">
        <w:r w:rsidRPr="00975D97">
          <w:rPr>
            <w:rStyle w:val="Hipervnculo"/>
            <w:szCs w:val="20"/>
          </w:rPr>
          <w:t>https://www.corteconstitucional.gov.co/secretaria/archivo.php?id=119951</w:t>
        </w:r>
      </w:hyperlink>
      <w:r w:rsidRPr="00862128">
        <w:rPr>
          <w:color w:val="000000"/>
          <w:szCs w:val="20"/>
        </w:rPr>
        <w:t xml:space="preserve"> </w:t>
      </w:r>
    </w:p>
  </w:footnote>
  <w:footnote w:id="44">
    <w:p w:rsidR="00454DDD" w:rsidRPr="00862128" w:rsidRDefault="00862128" w:rsidP="00454DDD">
      <w:pPr>
        <w:pStyle w:val="Textonotapie"/>
        <w:rPr>
          <w:color w:val="000000"/>
          <w:szCs w:val="20"/>
          <w:lang w:val="es-ES_tradnl"/>
        </w:rPr>
      </w:pPr>
      <w:r w:rsidRPr="00862128">
        <w:rPr>
          <w:rStyle w:val="Refdenotaalpie"/>
          <w:color w:val="000000"/>
          <w:szCs w:val="20"/>
        </w:rPr>
        <w:footnoteRef/>
      </w:r>
      <w:r w:rsidRPr="00862128">
        <w:rPr>
          <w:color w:val="000000"/>
          <w:szCs w:val="20"/>
          <w:lang w:val="es-ES_tradnl"/>
        </w:rPr>
        <w:t xml:space="preserve"> Artículo 826 del Código de Comercio.</w:t>
      </w:r>
    </w:p>
  </w:footnote>
  <w:footnote w:id="45">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Artículos 621 (numeral 2) y 709 del Código de Comercio.</w:t>
      </w:r>
    </w:p>
  </w:footnote>
  <w:footnote w:id="46">
    <w:p w:rsidR="00454DDD" w:rsidRPr="00862128" w:rsidRDefault="00862128" w:rsidP="00454DDD">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w:t>
      </w:r>
      <w:r w:rsidRPr="00862128">
        <w:rPr>
          <w:color w:val="000000"/>
          <w:szCs w:val="20"/>
        </w:rPr>
        <w:t>“El contrato es real cuando, para que sea perfecto, es necesaria la tradición de la cosa a que se refiere; es solemne cuando está sujeto a la observancia de ciertas formalidades especiales, de manera que sin ellas no produce ningún efecto civil; y es con</w:t>
      </w:r>
      <w:r w:rsidRPr="00862128">
        <w:rPr>
          <w:color w:val="000000"/>
          <w:szCs w:val="20"/>
        </w:rPr>
        <w:t>sensual cuando se perfecciona por el solo consentimiento” (</w:t>
      </w:r>
      <w:r w:rsidRPr="00862128">
        <w:rPr>
          <w:color w:val="000000"/>
          <w:szCs w:val="20"/>
        </w:rPr>
        <w:t>Artículo 1500 del Código Civil</w:t>
      </w:r>
      <w:r w:rsidRPr="00862128">
        <w:rPr>
          <w:color w:val="000000"/>
          <w:szCs w:val="20"/>
        </w:rPr>
        <w:t>)</w:t>
      </w:r>
    </w:p>
  </w:footnote>
  <w:footnote w:id="47">
    <w:p w:rsidR="00454DDD" w:rsidRPr="00862128" w:rsidRDefault="00862128" w:rsidP="00454DDD">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Artículo 1500 del Código Civil.</w:t>
      </w:r>
    </w:p>
  </w:footnote>
  <w:footnote w:id="48">
    <w:p w:rsidR="00BE08F3" w:rsidRPr="00862128" w:rsidRDefault="00862128" w:rsidP="00BE08F3">
      <w:pPr>
        <w:pStyle w:val="Textonotapie"/>
        <w:rPr>
          <w:bCs/>
          <w:color w:val="000000"/>
          <w:szCs w:val="20"/>
          <w:lang w:val="es-ES"/>
        </w:rPr>
      </w:pPr>
      <w:r w:rsidRPr="00862128">
        <w:rPr>
          <w:rStyle w:val="Refdenotaalpie"/>
          <w:color w:val="000000"/>
          <w:szCs w:val="20"/>
        </w:rPr>
        <w:footnoteRef/>
      </w:r>
      <w:r w:rsidRPr="00862128">
        <w:rPr>
          <w:color w:val="000000"/>
          <w:szCs w:val="20"/>
        </w:rPr>
        <w:t xml:space="preserve"> </w:t>
      </w:r>
      <w:r w:rsidRPr="00862128">
        <w:rPr>
          <w:color w:val="000000"/>
          <w:szCs w:val="20"/>
          <w:lang w:val="es-ES_tradnl"/>
        </w:rPr>
        <w:t>Artículo</w:t>
      </w:r>
      <w:r w:rsidRPr="00862128">
        <w:rPr>
          <w:color w:val="000000"/>
          <w:szCs w:val="20"/>
          <w:lang w:val="es-ES_tradnl"/>
        </w:rPr>
        <w:t>s</w:t>
      </w:r>
      <w:r w:rsidRPr="00862128">
        <w:rPr>
          <w:color w:val="000000"/>
          <w:szCs w:val="20"/>
          <w:lang w:val="es-ES_tradnl"/>
        </w:rPr>
        <w:t xml:space="preserve"> 2221 y 2222 del Código Civil.</w:t>
      </w:r>
      <w:r w:rsidRPr="00862128">
        <w:rPr>
          <w:color w:val="000000"/>
          <w:szCs w:val="20"/>
          <w:lang w:val="es-ES_tradnl"/>
        </w:rPr>
        <w:t xml:space="preserve"> </w:t>
      </w:r>
    </w:p>
    <w:p w:rsidR="00454DDD" w:rsidRPr="00862128" w:rsidRDefault="00862128" w:rsidP="00454DDD">
      <w:pPr>
        <w:pStyle w:val="Textonotapie"/>
        <w:rPr>
          <w:color w:val="000000"/>
          <w:szCs w:val="20"/>
          <w:lang w:val="es-ES"/>
        </w:rPr>
      </w:pPr>
    </w:p>
  </w:footnote>
  <w:footnote w:id="49">
    <w:p w:rsidR="002D2F18" w:rsidRPr="00975D97" w:rsidRDefault="00862128">
      <w:pPr>
        <w:pStyle w:val="Textonotapie"/>
      </w:pPr>
      <w:r w:rsidRPr="00975D97">
        <w:rPr>
          <w:rStyle w:val="Refdenotaalpie"/>
        </w:rPr>
        <w:footnoteRef/>
      </w:r>
      <w:r w:rsidRPr="00975D97">
        <w:t xml:space="preserve"> “No se perfecciona el contrato de mutuo sino por la tradición, y la tradición transfiere el dominio” (Artículo 2222 del Código Civil)</w:t>
      </w:r>
    </w:p>
  </w:footnote>
  <w:footnote w:id="50">
    <w:p w:rsidR="00936F0F" w:rsidRPr="00862128" w:rsidRDefault="00862128" w:rsidP="00936F0F">
      <w:pPr>
        <w:pStyle w:val="Textonotapie"/>
        <w:rPr>
          <w:color w:val="000000"/>
          <w:szCs w:val="20"/>
        </w:rPr>
      </w:pPr>
      <w:r w:rsidRPr="00862128">
        <w:rPr>
          <w:rStyle w:val="Refdenotaalpie"/>
          <w:color w:val="000000"/>
          <w:szCs w:val="20"/>
        </w:rPr>
        <w:footnoteRef/>
      </w:r>
      <w:r w:rsidRPr="00862128">
        <w:rPr>
          <w:color w:val="000000"/>
          <w:szCs w:val="20"/>
        </w:rPr>
        <w:t xml:space="preserve"> Por medio de la cual se define y reglamenta el acceso y uso de los mensajes de datos, del comercio electrónico y de las</w:t>
      </w:r>
      <w:r w:rsidRPr="00862128">
        <w:rPr>
          <w:color w:val="000000"/>
          <w:szCs w:val="20"/>
        </w:rPr>
        <w:t xml:space="preserve"> firmas digitales, y se establecen las entidades de certificación y se dictan otras disposiciones.</w:t>
      </w:r>
    </w:p>
  </w:footnote>
  <w:footnote w:id="51">
    <w:p w:rsidR="00936F0F" w:rsidRPr="00975D97" w:rsidRDefault="00862128" w:rsidP="00936F0F">
      <w:pPr>
        <w:pStyle w:val="Textonotapie"/>
      </w:pPr>
      <w:r w:rsidRPr="00975D97">
        <w:rPr>
          <w:rStyle w:val="Refdenotaalpie"/>
        </w:rPr>
        <w:footnoteRef/>
      </w:r>
      <w:r w:rsidRPr="00975D97">
        <w:t xml:space="preserve"> Los mensajes de datos son definidos como “información generada, enviada, recibida, almacenada o comunicada por medios electrónicos, ópticos o similares, co</w:t>
      </w:r>
      <w:r w:rsidRPr="00975D97">
        <w:t xml:space="preserve">mo pudieran ser, entre otros, el Intercambio Electrónico de Datos (EDI), Internet, el correo electrónico, el telegrama, el télex o el telefax” (Literal a) del artículo 2 de la Ley 527 de 1999). </w:t>
      </w:r>
    </w:p>
    <w:p w:rsidR="00936F0F" w:rsidRPr="00975D97" w:rsidRDefault="00862128" w:rsidP="00936F0F">
      <w:pPr>
        <w:pStyle w:val="Textonotapie"/>
        <w:rPr>
          <w:lang w:val="es-ES_tradnl"/>
        </w:rPr>
      </w:pPr>
    </w:p>
  </w:footnote>
  <w:footnote w:id="52">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A la luz del artículo 243 del Código General del Proceso</w:t>
      </w:r>
      <w:r w:rsidRPr="00862128">
        <w:rPr>
          <w:color w:val="000000"/>
          <w:szCs w:val="20"/>
          <w:vertAlign w:val="superscript"/>
        </w:rPr>
        <w:footnoteRef/>
      </w:r>
      <w:r w:rsidRPr="00862128">
        <w:rPr>
          <w:color w:val="000000"/>
          <w:szCs w:val="20"/>
        </w:rPr>
        <w:t>,</w:t>
      </w:r>
      <w:r w:rsidRPr="00862128">
        <w:rPr>
          <w:color w:val="000000"/>
          <w:szCs w:val="20"/>
        </w:rPr>
        <w:t xml:space="preserve"> los do</w:t>
      </w:r>
      <w:r w:rsidRPr="00862128">
        <w:rPr>
          <w:color w:val="000000"/>
          <w:szCs w:val="20"/>
        </w:rPr>
        <w:softHyphen/>
        <w:t>cu</w:t>
      </w:r>
      <w:r w:rsidRPr="00862128">
        <w:rPr>
          <w:color w:val="000000"/>
          <w:szCs w:val="20"/>
        </w:rPr>
        <w:softHyphen/>
        <w:t>mentos son “</w:t>
      </w:r>
      <w:r w:rsidRPr="00862128">
        <w:rPr>
          <w:bCs/>
          <w:color w:val="000000"/>
          <w:szCs w:val="20"/>
        </w:rPr>
        <w:t>los escritos</w:t>
      </w:r>
      <w:r w:rsidRPr="00862128">
        <w:rPr>
          <w:color w:val="000000"/>
          <w:szCs w:val="20"/>
        </w:rPr>
        <w:t xml:space="preserve">, impresos, planos, dibujos, cuadros, </w:t>
      </w:r>
      <w:r w:rsidRPr="00862128">
        <w:rPr>
          <w:bCs/>
          <w:color w:val="000000"/>
          <w:szCs w:val="20"/>
        </w:rPr>
        <w:t>mensajes de datos</w:t>
      </w:r>
      <w:r w:rsidRPr="00862128">
        <w:rPr>
          <w:color w:val="000000"/>
          <w:szCs w:val="20"/>
        </w:rPr>
        <w:t>, fotografías, cintas cinematográficas, discos, grabaciones magnetofónicas, grabaciones magnetofónicas, videograbaciones, radiografías, talones, contraseñas, cupones,</w:t>
      </w:r>
      <w:r w:rsidRPr="00862128">
        <w:rPr>
          <w:color w:val="000000"/>
          <w:szCs w:val="20"/>
        </w:rPr>
        <w:t xml:space="preserve"> etiquetas, sellos y, en general, todo objeto mueble que tenga carácter representativo o declarativo, y las inscripciones en lápidas, monumentos edificios o similares”. (Ley 1564 de 2012 “por medio de la cual se expide el Código General del Proceso y se di</w:t>
      </w:r>
      <w:r w:rsidRPr="00862128">
        <w:rPr>
          <w:color w:val="000000"/>
          <w:szCs w:val="20"/>
        </w:rPr>
        <w:t xml:space="preserve">ctan otras disposiciones”. Publicado en el </w:t>
      </w:r>
      <w:r w:rsidRPr="00862128">
        <w:rPr>
          <w:i/>
          <w:iCs/>
          <w:color w:val="000000"/>
          <w:szCs w:val="20"/>
        </w:rPr>
        <w:t>Diario Oficial</w:t>
      </w:r>
      <w:r w:rsidRPr="00862128">
        <w:rPr>
          <w:color w:val="000000"/>
          <w:szCs w:val="20"/>
        </w:rPr>
        <w:t xml:space="preserve"> núm. 48.489 de 12 de julio de 2012).</w:t>
      </w:r>
    </w:p>
  </w:footnote>
  <w:footnote w:id="53">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Como por ejemplo, el artículo 11 del Decreto Legislativo 491 de 2020 por el cual se adoptan medidas de urgencia para garantizar la atención y la prestación de </w:t>
      </w:r>
      <w:r w:rsidRPr="00862128">
        <w:rPr>
          <w:color w:val="000000"/>
          <w:szCs w:val="20"/>
        </w:rPr>
        <w:t>los servicios por parte de las autoridades públicas y los particulares que cumplan funciones públicas y se toman medidas para la protección laboral y de los contratistas de prestación de servicios de las entidades públicas, en el marco del Estado de Emerge</w:t>
      </w:r>
      <w:r w:rsidRPr="00862128">
        <w:rPr>
          <w:color w:val="000000"/>
          <w:szCs w:val="20"/>
        </w:rPr>
        <w:t>ncia Económica, Social y Ecológica”. Dicho artículo fue declarado exequible por la Corte Constitucional mediante la sentencia C-242 del 9 de julio de 2020</w:t>
      </w:r>
    </w:p>
  </w:footnote>
  <w:footnote w:id="54">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“Por medio del cual se reglamenta el artículo 7° de la Ley 527 de 1999, sobre la firma electrónica </w:t>
      </w:r>
      <w:r w:rsidRPr="00862128">
        <w:rPr>
          <w:color w:val="000000"/>
          <w:szCs w:val="20"/>
        </w:rPr>
        <w:t>y se dictan otras disposiciones”.</w:t>
      </w:r>
    </w:p>
  </w:footnote>
  <w:footnote w:id="55">
    <w:p w:rsidR="005652A4" w:rsidRPr="00975D97" w:rsidRDefault="00862128" w:rsidP="005652A4">
      <w:pPr>
        <w:pStyle w:val="Textonotapie"/>
      </w:pPr>
      <w:r w:rsidRPr="00975D97">
        <w:rPr>
          <w:rStyle w:val="Refdenotaalpie"/>
        </w:rPr>
        <w:footnoteRef/>
      </w:r>
      <w:r w:rsidRPr="00975D97">
        <w:t xml:space="preserve"> Por medio del cual se expide el Decreto Único Reglamentario del Sector Comercio, Industria y Turismo</w:t>
      </w:r>
    </w:p>
  </w:footnote>
  <w:footnote w:id="56">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Cfr. Numeral 3 del artículo 1 del Decreto 2364 de 2012.</w:t>
      </w:r>
    </w:p>
  </w:footnote>
  <w:footnote w:id="57">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Cfr. Artículo 5 del Decreto 2364 de 2012.</w:t>
      </w:r>
    </w:p>
  </w:footnote>
  <w:footnote w:id="58">
    <w:p w:rsidR="006973C4" w:rsidRPr="00975D97" w:rsidRDefault="00862128" w:rsidP="006973C4">
      <w:pPr>
        <w:pStyle w:val="Textonotapie"/>
        <w:rPr>
          <w:lang w:val="es-ES_tradnl"/>
        </w:rPr>
      </w:pPr>
      <w:r w:rsidRPr="00975D97">
        <w:rPr>
          <w:rStyle w:val="Refdenotaalpie"/>
        </w:rPr>
        <w:footnoteRef/>
      </w:r>
      <w:r w:rsidRPr="00975D97">
        <w:t xml:space="preserve"> La definición legal de la firma digital es la siguiente; “Valor numérico que se adhiere a un mensaje de datos y que, utilizando un procedimiento matemático conocido, vinculado a la clave del iniciador y al texto del mensaje, permite determinar que este va</w:t>
      </w:r>
      <w:r w:rsidRPr="00975D97">
        <w:t>lor se ha obtenido exclusivamente con la clave del iniciador y que el mensaje inicial no ha sido modificado después de efectuada la transformación” (Literal c) del artículo 2º de la Ley 527 de 1999).</w:t>
      </w:r>
    </w:p>
  </w:footnote>
  <w:footnote w:id="59">
    <w:p w:rsidR="00454DDD" w:rsidRPr="00862128" w:rsidRDefault="00862128" w:rsidP="00454DDD">
      <w:pPr>
        <w:pStyle w:val="Textonotapie"/>
        <w:rPr>
          <w:color w:val="000000"/>
          <w:szCs w:val="20"/>
        </w:rPr>
      </w:pPr>
      <w:r w:rsidRPr="00862128">
        <w:rPr>
          <w:rStyle w:val="Refdenotaalpie"/>
          <w:color w:val="000000"/>
          <w:szCs w:val="20"/>
        </w:rPr>
        <w:footnoteRef/>
      </w:r>
      <w:r w:rsidRPr="00862128">
        <w:rPr>
          <w:color w:val="000000"/>
          <w:szCs w:val="20"/>
        </w:rPr>
        <w:t xml:space="preserve"> Para facilitar el entendimiento del tema, resulta pert</w:t>
      </w:r>
      <w:r w:rsidRPr="00862128">
        <w:rPr>
          <w:color w:val="000000"/>
          <w:szCs w:val="20"/>
        </w:rPr>
        <w:t>inente hacer referencia a los siguientes conceptos del artículo 3 del Decreto 333 de 2014: (i) clave privada: valor o valores numéricos que utilizados conjuntamente con un procedimiento matemático conocido, sirven para generar la firma digital de un mensaj</w:t>
      </w:r>
      <w:r w:rsidRPr="00862128">
        <w:rPr>
          <w:color w:val="000000"/>
          <w:szCs w:val="20"/>
        </w:rPr>
        <w:t>e de datos; (ii) clave pública: valor o valores numéricos que son utilizados para verificar que una firma digital fue generada con la clave privada del iniciador; (iii) certificado en relación con las firmas: mensaje de datos firmado por la entidad de cert</w:t>
      </w:r>
      <w:r w:rsidRPr="00862128">
        <w:rPr>
          <w:color w:val="000000"/>
          <w:szCs w:val="20"/>
        </w:rPr>
        <w:t>ificación que identifica, tanto a la entidad de certificación que lo expide como al suscriptor, y contiene la clave pública de este.</w:t>
      </w:r>
    </w:p>
  </w:footnote>
  <w:footnote w:id="60">
    <w:p w:rsidR="00061194" w:rsidRPr="00975D97" w:rsidRDefault="00862128" w:rsidP="003664DF">
      <w:pPr>
        <w:pStyle w:val="Textonotapie"/>
      </w:pPr>
      <w:r w:rsidRPr="00975D97">
        <w:rPr>
          <w:rStyle w:val="Refdenotaalpie"/>
        </w:rPr>
        <w:footnoteRef/>
      </w:r>
      <w:r w:rsidRPr="00975D97">
        <w:t xml:space="preserve"> Algunos intervinientes mencionaron en su concepto aspectos diferentes a los mencionados en la demanda de constitucionalid</w:t>
      </w:r>
      <w:r w:rsidRPr="00975D97">
        <w:t>ad. En este punto, la Corte reitera que “no le es dado pronunciarse respecto de censuras que desbordan el objeto del proceso de constitucionalidad, el cual se delimita a partir de los cargos formulados por el demandante y no por quienes intervienen en el t</w:t>
      </w:r>
      <w:r w:rsidRPr="00975D97">
        <w:t>rámite” (C-262 del 13 de julio de 2023, núm. 58). La jurisprudencia de esta corporación establece que, por regla general, el examen de la Corte está limitado a los cargos formulados en la demanda cuando se trata de en un proceso iniciado a partir de la pre</w:t>
      </w:r>
      <w:r w:rsidRPr="00975D97">
        <w:t>sentación de una acción pública de inconstitucionalidad. El proceso de constitucionalidad no solo es participativo y democrático, sino que tiene carácter rogado, “por lo que resulta fundamental que los argumentos contenidos en la demanda no solo sean el pu</w:t>
      </w:r>
      <w:r w:rsidRPr="00975D97">
        <w:t>nto de partida sino el eje que articula toda la discusión, pues es en relación con éstos que los intervinientes fijan su postura y presentan sus argumentos de impugnación o defensa de las normas objeto de juzgamiento</w:t>
      </w:r>
      <w:r w:rsidRPr="00975D97">
        <w:rPr>
          <w:u w:val="single"/>
          <w:vertAlign w:val="superscript"/>
        </w:rPr>
        <w:t>”</w:t>
      </w:r>
      <w:r w:rsidRPr="00975D97">
        <w:rPr>
          <w:vertAlign w:val="superscript"/>
        </w:rPr>
        <w:t xml:space="preserve"> </w:t>
      </w:r>
      <w:r w:rsidRPr="00975D97">
        <w:t xml:space="preserve"> (C-262 del 13 de julio de 2023). Ha c</w:t>
      </w:r>
      <w:r w:rsidRPr="00975D97">
        <w:t>oncluido esta Corte que cuando “los argumentos de la intervención estructuran un problema de análisis distinto, podría concluirse que la acusación es nueva y, al ser propuesta por un interviniente, no es posible tenerla en cuenta como un nuevo cargo” (C-11</w:t>
      </w:r>
      <w:r w:rsidRPr="00975D97">
        <w:t xml:space="preserve">1 de 2022, citada en la sentencia C-262 de 2023). </w:t>
      </w:r>
    </w:p>
    <w:p w:rsidR="00061194" w:rsidRPr="00975D97" w:rsidRDefault="00862128">
      <w:pPr>
        <w:pStyle w:val="Textonotapie"/>
      </w:pPr>
    </w:p>
  </w:footnote>
  <w:footnote w:id="61">
    <w:p w:rsidR="00381D3D" w:rsidRPr="00862128" w:rsidRDefault="00862128" w:rsidP="00381D3D">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Cfr. Corte Constitucional. Sentencia C-262 de 2023</w:t>
      </w:r>
    </w:p>
  </w:footnote>
  <w:footnote w:id="62">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14" w:tgtFrame="blank" w:history="1">
        <w:r w:rsidRPr="00975D97">
          <w:rPr>
            <w:rStyle w:val="Hipervnculo"/>
            <w:lang w:val="pt-BR"/>
          </w:rPr>
          <w:t>D0016557-Conceptos e Intervenciones-(2025-07-20 21-36-51).pdf</w:t>
        </w:r>
      </w:hyperlink>
    </w:p>
  </w:footnote>
  <w:footnote w:id="63">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15" w:tgtFrame="blank" w:history="1">
        <w:r w:rsidRPr="00975D97">
          <w:rPr>
            <w:rStyle w:val="Hipervnculo"/>
            <w:lang w:val="pt-BR"/>
          </w:rPr>
          <w:t>D0016557-Conceptos e Intervenciones-(2025-07-20 22-10-4</w:t>
        </w:r>
        <w:r w:rsidRPr="00975D97">
          <w:rPr>
            <w:rStyle w:val="Hipervnculo"/>
            <w:lang w:val="pt-BR"/>
          </w:rPr>
          <w:t>0).pdf</w:t>
        </w:r>
      </w:hyperlink>
    </w:p>
  </w:footnote>
  <w:footnote w:id="64">
    <w:p w:rsidR="009B4CA3" w:rsidRPr="00975D97" w:rsidRDefault="00862128" w:rsidP="009B4CA3">
      <w:pPr>
        <w:pStyle w:val="Textonotapie"/>
        <w:rPr>
          <w:lang w:val="pt-BR"/>
        </w:rPr>
      </w:pPr>
      <w:r w:rsidRPr="00975D97">
        <w:rPr>
          <w:rStyle w:val="Refdenotaalpie"/>
        </w:rPr>
        <w:footnoteRef/>
      </w:r>
      <w:r w:rsidRPr="00975D97">
        <w:rPr>
          <w:lang w:val="pt-BR"/>
        </w:rPr>
        <w:t xml:space="preserve"> Expediente digital, archivo </w:t>
      </w:r>
      <w:hyperlink r:id="rId16" w:tgtFrame="blank" w:history="1">
        <w:r w:rsidRPr="00975D97">
          <w:rPr>
            <w:rStyle w:val="Hipervnculo"/>
            <w:lang w:val="pt-BR"/>
          </w:rPr>
          <w:t>d0016557-Conceptos e Intervenciones-(2025-07-18 18-57-20).pdf</w:t>
        </w:r>
      </w:hyperlink>
    </w:p>
  </w:footnote>
  <w:footnote w:id="65">
    <w:p w:rsidR="009B4CA3" w:rsidRPr="00CE2EC1" w:rsidRDefault="00862128" w:rsidP="009B4CA3">
      <w:pPr>
        <w:pStyle w:val="Textonotapie"/>
      </w:pPr>
      <w:r w:rsidRPr="00975D97">
        <w:rPr>
          <w:rStyle w:val="Refdenotaalpie"/>
        </w:rPr>
        <w:footnoteRef/>
      </w:r>
      <w:r w:rsidRPr="00CE2EC1">
        <w:t xml:space="preserve"> Expediente digital, archivo </w:t>
      </w:r>
      <w:hyperlink r:id="rId17" w:tgtFrame="blank" w:history="1">
        <w:r w:rsidRPr="00CE2EC1">
          <w:rPr>
            <w:rStyle w:val="Hipervnculo"/>
          </w:rPr>
          <w:t>D0016557-Conceptos e Intervenciones-(2025-07-20 21-33-49).pdf</w:t>
        </w:r>
      </w:hyperlink>
    </w:p>
  </w:footnote>
  <w:footnote w:id="66">
    <w:p w:rsidR="00F054A9" w:rsidRPr="00975D97" w:rsidRDefault="00862128">
      <w:pPr>
        <w:pStyle w:val="Textonotapie"/>
      </w:pPr>
      <w:r w:rsidRPr="00975D97">
        <w:rPr>
          <w:rStyle w:val="Refdenotaalpie"/>
        </w:rPr>
        <w:footnoteRef/>
      </w:r>
      <w:r w:rsidRPr="00CE2EC1">
        <w:t xml:space="preserve"> </w:t>
      </w:r>
      <w:r w:rsidRPr="00CE2EC1">
        <w:t xml:space="preserve">Corte Constitucional, </w:t>
      </w:r>
      <w:r w:rsidRPr="00862128">
        <w:rPr>
          <w:color w:val="000000"/>
          <w:szCs w:val="20"/>
        </w:rPr>
        <w:t xml:space="preserve">Sentencia C-212 de 2022. </w:t>
      </w:r>
      <w:r w:rsidRPr="00862128">
        <w:rPr>
          <w:color w:val="000000"/>
          <w:szCs w:val="20"/>
          <w:shd w:val="clear" w:color="auto" w:fill="FFFFFF"/>
        </w:rPr>
        <w:t xml:space="preserve">Al respecto, en </w:t>
      </w:r>
      <w:r w:rsidRPr="00862128">
        <w:rPr>
          <w:color w:val="000000"/>
          <w:szCs w:val="20"/>
          <w:shd w:val="clear" w:color="auto" w:fill="FFFFFF"/>
        </w:rPr>
        <w:t xml:space="preserve">la </w:t>
      </w:r>
      <w:r w:rsidRPr="00862128">
        <w:rPr>
          <w:color w:val="000000"/>
          <w:szCs w:val="20"/>
          <w:shd w:val="clear" w:color="auto" w:fill="FFFFFF"/>
        </w:rPr>
        <w:t xml:space="preserve">Sentencia C-623 de 2008, se señaló </w:t>
      </w:r>
      <w:r w:rsidRPr="00862128">
        <w:rPr>
          <w:color w:val="000000"/>
          <w:szCs w:val="20"/>
          <w:shd w:val="clear" w:color="auto" w:fill="FFFFFF"/>
        </w:rPr>
        <w:t>que “</w:t>
      </w:r>
      <w:r w:rsidRPr="00862128">
        <w:rPr>
          <w:i/>
          <w:iCs/>
          <w:color w:val="000000"/>
          <w:szCs w:val="20"/>
        </w:rPr>
        <w:t xml:space="preserve">(…) </w:t>
      </w:r>
      <w:r w:rsidRPr="00862128">
        <w:rPr>
          <w:i/>
          <w:iCs/>
          <w:color w:val="000000"/>
          <w:szCs w:val="20"/>
        </w:rPr>
        <w:t>Aun cuando en principio, es en el auto admisorio donde se define si la demanda cumple o no con los requisitos mínimos de procedibilidad, ese primer análisis responde a una valoración apenas sumaria de la acción, llevada a cabo únicamente por cuent</w:t>
      </w:r>
      <w:r w:rsidRPr="00862128">
        <w:rPr>
          <w:i/>
          <w:iCs/>
          <w:color w:val="000000"/>
          <w:szCs w:val="20"/>
        </w:rPr>
        <w:t>a del Magistrado Ponente, razón por la cual, la misma no compromete ni define la competencia del Pleno de la corte, que es en quien reside la función constitucional de decidir de fondo sobre las demandas de inconstitucionalidad que presenten los ciudadanos</w:t>
      </w:r>
      <w:r w:rsidRPr="00862128">
        <w:rPr>
          <w:i/>
          <w:iCs/>
          <w:color w:val="000000"/>
          <w:szCs w:val="20"/>
        </w:rPr>
        <w:t xml:space="preserve"> contra las leyes y los decretos con fuerza de ley (C.P. art. 241-4-5)</w:t>
      </w:r>
      <w:r w:rsidRPr="00862128">
        <w:rPr>
          <w:color w:val="000000"/>
          <w:szCs w:val="20"/>
          <w:shd w:val="clear" w:color="auto" w:fill="FFFFFF"/>
        </w:rPr>
        <w:t>”.</w:t>
      </w:r>
    </w:p>
  </w:footnote>
  <w:footnote w:id="67">
    <w:p w:rsidR="007D2F53" w:rsidRPr="00975D97" w:rsidRDefault="00862128" w:rsidP="007D2F53">
      <w:pPr>
        <w:pStyle w:val="Textonotapie"/>
      </w:pPr>
      <w:r w:rsidRPr="00862128">
        <w:rPr>
          <w:color w:val="000000"/>
          <w:vertAlign w:val="superscript"/>
        </w:rPr>
        <w:footnoteRef/>
      </w:r>
      <w:r w:rsidRPr="00862128">
        <w:rPr>
          <w:color w:val="000000"/>
          <w:lang w:val="pt-BR"/>
        </w:rPr>
        <w:t xml:space="preserve"> Corte Constitucional</w:t>
      </w:r>
      <w:r w:rsidRPr="00862128">
        <w:rPr>
          <w:color w:val="000000"/>
          <w:lang w:val="pt-BR"/>
        </w:rPr>
        <w:t>.</w:t>
      </w:r>
      <w:r w:rsidRPr="00862128">
        <w:rPr>
          <w:color w:val="000000"/>
          <w:lang w:val="pt-BR"/>
        </w:rPr>
        <w:t xml:space="preserve"> </w:t>
      </w:r>
      <w:r w:rsidRPr="00862128">
        <w:rPr>
          <w:color w:val="000000"/>
          <w:lang w:val="pt-BR"/>
        </w:rPr>
        <w:t>S</w:t>
      </w:r>
      <w:r w:rsidRPr="00862128">
        <w:rPr>
          <w:color w:val="000000"/>
          <w:lang w:val="pt-BR"/>
        </w:rPr>
        <w:t xml:space="preserve">entencia C-623 de 2008. </w:t>
      </w:r>
      <w:r w:rsidRPr="00862128">
        <w:rPr>
          <w:color w:val="000000"/>
        </w:rPr>
        <w:t>Este pronunciamiento fue reiterado en las sentencias C-894 de 2009, C-055 de 2013, C-281 de 2013, C-220 de 1009</w:t>
      </w:r>
      <w:r w:rsidRPr="00862128">
        <w:rPr>
          <w:color w:val="000000"/>
        </w:rPr>
        <w:t>,</w:t>
      </w:r>
      <w:r w:rsidRPr="00862128">
        <w:rPr>
          <w:color w:val="000000"/>
        </w:rPr>
        <w:t xml:space="preserve"> C-330 de 2019</w:t>
      </w:r>
      <w:r w:rsidRPr="00862128">
        <w:rPr>
          <w:color w:val="000000"/>
        </w:rPr>
        <w:t xml:space="preserve"> y C-212 de 2022</w:t>
      </w:r>
      <w:r w:rsidRPr="00862128">
        <w:rPr>
          <w:color w:val="000000"/>
        </w:rPr>
        <w:t xml:space="preserve">. </w:t>
      </w:r>
    </w:p>
  </w:footnote>
  <w:footnote w:id="68">
    <w:p w:rsidR="00B74F30" w:rsidRPr="00862128" w:rsidRDefault="00862128" w:rsidP="00CE0D1E">
      <w:pPr>
        <w:pStyle w:val="Textonotapie"/>
        <w:rPr>
          <w:i/>
          <w:color w:val="000000"/>
        </w:rPr>
      </w:pPr>
      <w:r w:rsidRPr="00862128">
        <w:rPr>
          <w:rFonts w:eastAsia="Yu Gothic Light"/>
          <w:color w:val="000000"/>
          <w:vertAlign w:val="superscript"/>
        </w:rPr>
        <w:footnoteRef/>
      </w:r>
      <w:r w:rsidRPr="00862128">
        <w:rPr>
          <w:color w:val="000000"/>
          <w:lang w:val="pt-PT"/>
        </w:rPr>
        <w:t xml:space="preserve"> Corte Constitucional, sentencia C-874 de 2002. </w:t>
      </w:r>
      <w:r w:rsidRPr="00862128">
        <w:rPr>
          <w:color w:val="000000"/>
        </w:rPr>
        <w:t>En el mismo sentido se pueden consultar, entre otras, las sentencias C-954 de 2007, C-623 de 2008, C-894 de 2009, C-055 de 2013</w:t>
      </w:r>
      <w:r w:rsidRPr="00862128">
        <w:rPr>
          <w:color w:val="000000"/>
        </w:rPr>
        <w:t xml:space="preserve">, </w:t>
      </w:r>
      <w:r w:rsidRPr="00862128">
        <w:rPr>
          <w:color w:val="000000"/>
        </w:rPr>
        <w:t>C-281 de 2013</w:t>
      </w:r>
      <w:r w:rsidRPr="00862128">
        <w:rPr>
          <w:color w:val="000000"/>
        </w:rPr>
        <w:t xml:space="preserve"> y C-052 de 2024</w:t>
      </w:r>
      <w:r w:rsidRPr="00862128">
        <w:rPr>
          <w:color w:val="000000"/>
        </w:rPr>
        <w:t xml:space="preserve">. </w:t>
      </w:r>
      <w:r w:rsidRPr="00862128">
        <w:rPr>
          <w:color w:val="000000"/>
        </w:rPr>
        <w:t>Existen varias sentencias en</w:t>
      </w:r>
      <w:r w:rsidRPr="00862128">
        <w:rPr>
          <w:color w:val="000000"/>
        </w:rPr>
        <w:t xml:space="preserve"> las que se recogen los precedentes jurisprudenciales sobre la posibilidad de que la Sala Plena se pronuncie respecto de la aptitud de la demanda, cuando tiene mayores elementos sobre la acusación formulada y conoce las intervenciones </w:t>
      </w:r>
      <w:r w:rsidRPr="00862128">
        <w:rPr>
          <w:color w:val="000000"/>
        </w:rPr>
        <w:t>o</w:t>
      </w:r>
      <w:r w:rsidRPr="00862128">
        <w:rPr>
          <w:color w:val="000000"/>
        </w:rPr>
        <w:t xml:space="preserve"> conceptos que se in</w:t>
      </w:r>
      <w:r w:rsidRPr="00862128">
        <w:rPr>
          <w:color w:val="000000"/>
        </w:rPr>
        <w:t xml:space="preserve">corporan al expediente. En la sentencia C-281 de 2013 </w:t>
      </w:r>
      <w:r w:rsidRPr="00862128">
        <w:rPr>
          <w:color w:val="000000"/>
        </w:rPr>
        <w:t xml:space="preserve">se expuso que: </w:t>
      </w:r>
      <w:r w:rsidRPr="00862128">
        <w:rPr>
          <w:i/>
          <w:color w:val="000000"/>
        </w:rPr>
        <w:t>“</w:t>
      </w:r>
      <w:r w:rsidRPr="00862128">
        <w:rPr>
          <w:iCs/>
          <w:color w:val="000000"/>
        </w:rPr>
        <w:t xml:space="preserve">Aun cuando en principio, es en el auto admisorio donde se define si la demanda cumple o no con los requisitos mínimos de procedibilidad, ese primer análisis responde a una valoración </w:t>
      </w:r>
      <w:r w:rsidRPr="00862128">
        <w:rPr>
          <w:iCs/>
          <w:color w:val="000000"/>
        </w:rPr>
        <w:t>apenas sumaria de la acción, llevada a cabo únicamente por cuenta del magistrado ponente, razón por la cual, la misma no compromete ni define la competencia del pleno de la Corte, que es en quien reside la función constitucional de decidir de fondo sobre l</w:t>
      </w:r>
      <w:r w:rsidRPr="00862128">
        <w:rPr>
          <w:iCs/>
          <w:color w:val="000000"/>
        </w:rPr>
        <w:t>as demandas de inconstitucionalidad que presenten los ciudadanos contra las leyes y los decretos con fuerza de ley (CP art. 241-4-5)</w:t>
      </w:r>
      <w:r w:rsidRPr="00862128">
        <w:rPr>
          <w:i/>
          <w:color w:val="000000"/>
        </w:rPr>
        <w:t xml:space="preserve">.” </w:t>
      </w:r>
    </w:p>
  </w:footnote>
  <w:footnote w:id="69">
    <w:p w:rsidR="00236113" w:rsidRPr="00975D97" w:rsidRDefault="00862128" w:rsidP="00236113">
      <w:pPr>
        <w:pStyle w:val="Textonotapie"/>
        <w:rPr>
          <w:i/>
        </w:rPr>
      </w:pPr>
      <w:r w:rsidRPr="00975D97">
        <w:rPr>
          <w:rStyle w:val="Refdenotaalpie"/>
        </w:rPr>
        <w:footnoteRef/>
      </w:r>
      <w:r w:rsidRPr="00975D97">
        <w:t xml:space="preserve"> </w:t>
      </w:r>
      <w:r w:rsidRPr="00975D97">
        <w:rPr>
          <w:iCs/>
        </w:rPr>
        <w:t xml:space="preserve">En la C-052 de 2024 se puso de presente que  “si bien por regla general el examen sobre la aptitud de la demanda debe </w:t>
      </w:r>
      <w:r w:rsidRPr="00975D97">
        <w:rPr>
          <w:iCs/>
        </w:rPr>
        <w:t>realizarse en la etapa de admisibilidad, el ordenamiento jurídico permite que este tipo de decisiones se adopten en la sentencia, teniendo en cuenta que en algunas oportunidades el incumplimiento de los requisitos formales y materiales de la acusación no s</w:t>
      </w:r>
      <w:r w:rsidRPr="00975D97">
        <w:rPr>
          <w:iCs/>
        </w:rPr>
        <w:t>e advierte desde un principio, o los mismos suscitan dudas, o se prefiere darle curso a la acción para no incurrir en un eventual exceso formal frente al ejercicio del derecho de acción de los ciudadanos. En este orden de ideas, la jurisprudencia de la Cor</w:t>
      </w:r>
      <w:r w:rsidRPr="00975D97">
        <w:rPr>
          <w:iCs/>
        </w:rPr>
        <w:t>te ha distinguido ambas etapas procesales y ha manifestado que la decisión del ponente sobre la admisión no compromete la evaluación que, en términos de autonomía, puede realizar la Sala Plena sobre la aptitud sustancial de la demanda, ya que, a partir del</w:t>
      </w:r>
      <w:r w:rsidRPr="00975D97">
        <w:rPr>
          <w:iCs/>
        </w:rPr>
        <w:t xml:space="preserve"> desarrollo del proceso, esta autoridad tiene la posibilidad de efectuar un análisis con mayor rigor, detenimiento y profundidad sobre la acusación formulada, sobre la base de las distintas intervenciones y de los conceptos que se incorporan al expediente”</w:t>
      </w:r>
      <w:r w:rsidRPr="00975D97">
        <w:rPr>
          <w:iCs/>
        </w:rPr>
        <w:t>.</w:t>
      </w:r>
    </w:p>
    <w:p w:rsidR="00236113" w:rsidRPr="00975D97" w:rsidRDefault="00862128">
      <w:pPr>
        <w:pStyle w:val="Textonotapie"/>
      </w:pPr>
    </w:p>
  </w:footnote>
  <w:footnote w:id="70">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sentencia C-243 de 2025, la cual cita, entre otras, estas sentencias: C-623 de 2008, C-894 de 2009, C-281 de 2013, C-240 de 2014, C-542 de 2017, C-220 de 2019, C-035 de 2020, C-050 de 2021, C-076 de 2021, C-189 de 2021, C-056 de </w:t>
      </w:r>
      <w:r w:rsidRPr="00862128">
        <w:rPr>
          <w:color w:val="000000"/>
          <w:szCs w:val="20"/>
        </w:rPr>
        <w:t>2022, C-260 de 2022, C-366 de 2022, C-262 de 2023, entre otras.</w:t>
      </w:r>
    </w:p>
  </w:footnote>
  <w:footnote w:id="71">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sentencias C-980 de 2005 y C-501 de 2014.</w:t>
      </w:r>
    </w:p>
  </w:footnote>
  <w:footnote w:id="72">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sentencias C-236 de 1997; C-447 de 1997; C-426 de 2002 y C-170 de 2004.</w:t>
      </w:r>
    </w:p>
  </w:footnote>
  <w:footnote w:id="73">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w:t>
      </w:r>
      <w:r w:rsidRPr="00862128">
        <w:rPr>
          <w:color w:val="000000"/>
          <w:szCs w:val="20"/>
        </w:rPr>
        <w:t>cias C-1052 de 2001 y C-1115 de 2004.</w:t>
      </w:r>
    </w:p>
  </w:footnote>
  <w:footnote w:id="74">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sentencias C-509 de 1996; C-237 de 1997; C-447 de 1997 y C-426 de 2002. Esta carga argumentativa está relacionada con la categoría del “concepto de violación”, desarrollado por la jurisprudencia</w:t>
      </w:r>
      <w:r w:rsidRPr="00862128">
        <w:rPr>
          <w:color w:val="000000"/>
          <w:szCs w:val="20"/>
        </w:rPr>
        <w:t xml:space="preserve"> constitucional. Al respecto, ver por ejemplo las sentencias C-1052 de 2001, C-568 de 2004 y C-116 de 2021, entre muchas otras.</w:t>
      </w:r>
    </w:p>
  </w:footnote>
  <w:footnote w:id="75">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Estos requisitos también han sido sintetizados en la sentencia C-385 de 2022, citada, entre otras, en las sentencias C-395 de </w:t>
      </w:r>
      <w:r w:rsidRPr="00862128">
        <w:rPr>
          <w:color w:val="000000"/>
          <w:szCs w:val="20"/>
        </w:rPr>
        <w:t xml:space="preserve">2024 y C-243 de 2025. </w:t>
      </w:r>
    </w:p>
  </w:footnote>
  <w:footnote w:id="76">
    <w:p w:rsidR="00F2404A"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Corte Constitucional, Sentencia C-353 de 1998.</w:t>
      </w:r>
    </w:p>
  </w:footnote>
  <w:footnote w:id="77">
    <w:p w:rsidR="00F2404A" w:rsidRPr="00862128" w:rsidRDefault="00862128" w:rsidP="003229EE">
      <w:pPr>
        <w:pStyle w:val="Textonotapie"/>
        <w:rPr>
          <w:color w:val="000000"/>
          <w:szCs w:val="20"/>
          <w:lang w:val="pt-BR"/>
        </w:rPr>
      </w:pPr>
      <w:r w:rsidRPr="00862128">
        <w:rPr>
          <w:rStyle w:val="Refdenotaalpie"/>
          <w:color w:val="000000"/>
          <w:szCs w:val="20"/>
        </w:rPr>
        <w:footnoteRef/>
      </w:r>
      <w:r w:rsidRPr="00862128">
        <w:rPr>
          <w:color w:val="000000"/>
          <w:szCs w:val="20"/>
          <w:lang w:val="pt-BR"/>
        </w:rPr>
        <w:t xml:space="preserve"> Corte Constitucional, Sentencia C-357 de 1997.</w:t>
      </w:r>
    </w:p>
  </w:footnote>
  <w:footnote w:id="78">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color w:val="000000"/>
          <w:szCs w:val="20"/>
        </w:rPr>
        <w:t xml:space="preserve">Corte Constitucional, </w:t>
      </w:r>
      <w:r w:rsidRPr="00862128">
        <w:rPr>
          <w:color w:val="000000"/>
          <w:szCs w:val="20"/>
        </w:rPr>
        <w:t>sentencias C-268 de 2021</w:t>
      </w:r>
      <w:r w:rsidRPr="00862128">
        <w:rPr>
          <w:color w:val="000000"/>
          <w:szCs w:val="20"/>
        </w:rPr>
        <w:t xml:space="preserve">, </w:t>
      </w:r>
      <w:r w:rsidRPr="00862128">
        <w:rPr>
          <w:color w:val="000000"/>
          <w:szCs w:val="20"/>
        </w:rPr>
        <w:t>C-317 de 2022</w:t>
      </w:r>
      <w:r w:rsidRPr="00862128">
        <w:rPr>
          <w:color w:val="000000"/>
          <w:szCs w:val="20"/>
        </w:rPr>
        <w:t xml:space="preserve"> y C-538 de 2023</w:t>
      </w:r>
      <w:r w:rsidRPr="00862128">
        <w:rPr>
          <w:color w:val="000000"/>
          <w:szCs w:val="20"/>
        </w:rPr>
        <w:t>.</w:t>
      </w:r>
    </w:p>
  </w:footnote>
  <w:footnote w:id="79">
    <w:p w:rsidR="00117CF9" w:rsidRPr="00862128" w:rsidRDefault="00862128" w:rsidP="00117CF9">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“Corrección a la demanda”, p. 8.</w:t>
      </w:r>
    </w:p>
  </w:footnote>
  <w:footnote w:id="80">
    <w:p w:rsidR="00117CF9" w:rsidRPr="00862128" w:rsidRDefault="00862128" w:rsidP="00CD050B">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w:t>
      </w:r>
      <w:r w:rsidRPr="00862128">
        <w:rPr>
          <w:color w:val="000000"/>
          <w:szCs w:val="20"/>
        </w:rPr>
        <w:t>, p. 9.</w:t>
      </w:r>
    </w:p>
  </w:footnote>
  <w:footnote w:id="81">
    <w:p w:rsidR="00146B8A" w:rsidRPr="00862128" w:rsidRDefault="00862128" w:rsidP="00146B8A">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w:t>
      </w:r>
      <w:r w:rsidRPr="00862128">
        <w:rPr>
          <w:color w:val="000000"/>
          <w:szCs w:val="20"/>
        </w:rPr>
        <w:t>D0016557-Presentación Demanda-(2025-05-06 11-32-38).pdf</w:t>
      </w:r>
      <w:r w:rsidRPr="00862128">
        <w:rPr>
          <w:color w:val="000000"/>
          <w:szCs w:val="20"/>
        </w:rPr>
        <w:t>”, p. 3.</w:t>
      </w:r>
    </w:p>
  </w:footnote>
  <w:footnote w:id="82">
    <w:p w:rsidR="00210AE7" w:rsidRPr="00975D97" w:rsidRDefault="00862128" w:rsidP="00210AE7">
      <w:pPr>
        <w:pStyle w:val="Textonotapie"/>
        <w:rPr>
          <w:lang w:val="es-ES"/>
        </w:rPr>
      </w:pPr>
      <w:r w:rsidRPr="00975D97">
        <w:rPr>
          <w:rStyle w:val="Refdenotaalpie"/>
        </w:rPr>
        <w:footnoteRef/>
      </w:r>
      <w:r w:rsidRPr="00975D97">
        <w:rPr>
          <w:lang w:val="es-ES"/>
        </w:rPr>
        <w:t xml:space="preserve"> Corte Constitucional, sentencia C-043 de 2021.</w:t>
      </w:r>
    </w:p>
  </w:footnote>
  <w:footnote w:id="83">
    <w:p w:rsidR="00F51921" w:rsidRPr="00862128" w:rsidRDefault="00862128" w:rsidP="00F51921">
      <w:pPr>
        <w:pStyle w:val="Textonotapie"/>
        <w:rPr>
          <w:color w:val="000000"/>
          <w:szCs w:val="20"/>
        </w:rPr>
      </w:pPr>
      <w:r w:rsidRPr="00862128">
        <w:rPr>
          <w:rStyle w:val="Refdenotaalpie"/>
          <w:color w:val="000000"/>
          <w:szCs w:val="20"/>
        </w:rPr>
        <w:footnoteRef/>
      </w:r>
      <w:r w:rsidRPr="00862128">
        <w:rPr>
          <w:color w:val="000000"/>
          <w:szCs w:val="20"/>
        </w:rPr>
        <w:t xml:space="preserve"> Corte Constitucional, sentencias C-268 de 2021, C-317 de 2022 y C-538 de 2023.</w:t>
      </w:r>
    </w:p>
  </w:footnote>
  <w:footnote w:id="84">
    <w:p w:rsidR="00573FBD" w:rsidRPr="00862128" w:rsidRDefault="00862128" w:rsidP="00573FBD">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“D0016557-Presentación Demanda-(2025-05-06 11-32-38).pdf”, p. 14 (Numeral 2. Violación del principio de igualdad)</w:t>
      </w:r>
    </w:p>
  </w:footnote>
  <w:footnote w:id="85">
    <w:p w:rsidR="00573FBD" w:rsidRPr="00862128" w:rsidRDefault="00862128" w:rsidP="00573FBD">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“D</w:t>
      </w:r>
      <w:r w:rsidRPr="00862128">
        <w:rPr>
          <w:color w:val="000000"/>
          <w:szCs w:val="20"/>
        </w:rPr>
        <w:t>0016557-Presentación Demanda-(2025-05-06 11-32-38).pdf”, p. 17 (Numeral 2.1.2. Verificación del trato diferenciado)</w:t>
      </w:r>
    </w:p>
  </w:footnote>
  <w:footnote w:id="86">
    <w:p w:rsidR="004F5ED9" w:rsidRPr="00862128" w:rsidRDefault="00862128" w:rsidP="00CD050B">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sidDel="00CD050B">
        <w:rPr>
          <w:color w:val="000000"/>
          <w:szCs w:val="20"/>
        </w:rPr>
        <w:t xml:space="preserve"> </w:t>
      </w:r>
      <w:r w:rsidRPr="00862128">
        <w:rPr>
          <w:color w:val="000000"/>
          <w:szCs w:val="20"/>
        </w:rPr>
        <w:t>p. 20 ((ii) Ausencia de un medio constitucionalmente legítimo)</w:t>
      </w:r>
    </w:p>
  </w:footnote>
  <w:footnote w:id="87">
    <w:p w:rsidR="00D3576F" w:rsidRPr="00862128" w:rsidRDefault="00862128" w:rsidP="00D3576F">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w:t>
      </w:r>
      <w:r w:rsidRPr="00862128">
        <w:rPr>
          <w:color w:val="000000"/>
          <w:szCs w:val="20"/>
          <w:lang w:val="es-ES_tradnl"/>
        </w:rPr>
        <w:t>Ley 45 de 1990 “Por la cual se expiden normas en materia de interm</w:t>
      </w:r>
      <w:r w:rsidRPr="00862128">
        <w:rPr>
          <w:color w:val="000000"/>
          <w:szCs w:val="20"/>
          <w:lang w:val="es-ES_tradnl"/>
        </w:rPr>
        <w:t>ediación financiera, se regula la actividad aseguradora, se conceden unas facultades y se dictan otras disposiciones”.</w:t>
      </w:r>
    </w:p>
  </w:footnote>
  <w:footnote w:id="88">
    <w:p w:rsidR="000B7E56" w:rsidRPr="00862128" w:rsidRDefault="00862128" w:rsidP="000B7E56">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“D0016557-Presentación Demanda-(2025-05-06 11-32-38).pdf”, p. 17 (Numeral 2.1.2. Verificación del trato diferenciado)</w:t>
      </w:r>
    </w:p>
  </w:footnote>
  <w:footnote w:id="89">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color w:val="000000"/>
          <w:szCs w:val="20"/>
        </w:rPr>
        <w:t>Expediente digital, archivo “Corrección a la demanda”, p. 2.</w:t>
      </w:r>
      <w:r w:rsidRPr="00862128">
        <w:rPr>
          <w:color w:val="000000"/>
          <w:szCs w:val="20"/>
        </w:rPr>
        <w:t xml:space="preserve"> </w:t>
      </w:r>
    </w:p>
  </w:footnote>
  <w:footnote w:id="90">
    <w:p w:rsidR="00F2404A" w:rsidRPr="00862128" w:rsidRDefault="00862128" w:rsidP="003229EE">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975D97">
        <w:rPr>
          <w:i/>
          <w:iCs/>
        </w:rPr>
        <w:t>Ibidem</w:t>
      </w:r>
      <w:r w:rsidRPr="00975D97">
        <w:t>,</w:t>
      </w:r>
      <w:r w:rsidRPr="00862128" w:rsidDel="00CD050B">
        <w:rPr>
          <w:color w:val="000000"/>
          <w:szCs w:val="20"/>
        </w:rPr>
        <w:t xml:space="preserve"> </w:t>
      </w:r>
      <w:r w:rsidRPr="00862128">
        <w:rPr>
          <w:color w:val="000000"/>
          <w:szCs w:val="20"/>
        </w:rPr>
        <w:t>p. 3.</w:t>
      </w:r>
      <w:r w:rsidRPr="00862128">
        <w:rPr>
          <w:color w:val="000000"/>
          <w:szCs w:val="20"/>
        </w:rPr>
        <w:t xml:space="preserve"> </w:t>
      </w:r>
    </w:p>
  </w:footnote>
  <w:footnote w:id="91">
    <w:p w:rsidR="00F2404A" w:rsidRPr="00862128" w:rsidRDefault="00862128" w:rsidP="00CD050B">
      <w:pPr>
        <w:pStyle w:val="Textonotapie"/>
        <w:rPr>
          <w:color w:val="000000"/>
          <w:szCs w:val="20"/>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w:t>
      </w:r>
      <w:r w:rsidRPr="00862128">
        <w:rPr>
          <w:color w:val="000000"/>
          <w:szCs w:val="20"/>
        </w:rPr>
        <w:t>, p. 16.</w:t>
      </w:r>
    </w:p>
  </w:footnote>
  <w:footnote w:id="92">
    <w:p w:rsidR="00F2404A" w:rsidRPr="00862128" w:rsidRDefault="00862128" w:rsidP="00CD050B">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w:t>
      </w:r>
      <w:r w:rsidRPr="00862128">
        <w:rPr>
          <w:color w:val="000000"/>
          <w:szCs w:val="20"/>
          <w:lang w:val="es-ES_tradnl"/>
        </w:rPr>
        <w:t>En efect</w:t>
      </w:r>
      <w:r w:rsidRPr="00862128">
        <w:rPr>
          <w:color w:val="000000"/>
          <w:szCs w:val="20"/>
          <w:lang w:val="es-ES_tradnl"/>
        </w:rPr>
        <w:t>o, esto es lo que dice el artículo 68 de la Ley 45 de 1990: “Artículo 68. Sumas que se reputan intereses. Para todos los efectos legales se reputarán intereses las sumas que el acreedor reciba del deudor sin contraprestación distinta al crédito otorgado, a</w:t>
      </w:r>
      <w:r w:rsidRPr="00862128">
        <w:rPr>
          <w:color w:val="000000"/>
          <w:szCs w:val="20"/>
          <w:lang w:val="es-ES_tradnl"/>
        </w:rPr>
        <w:t>un cuando las mismas se justifiquen por concepto de honorarios, comisiones u otros semejantes. Así mismo, se incluirán dentro de los intereses las sumas que el deudor pague por concepto de servicios vinculados directamente con el crédito en exceso de las s</w:t>
      </w:r>
      <w:r w:rsidRPr="00862128">
        <w:rPr>
          <w:color w:val="000000"/>
          <w:szCs w:val="20"/>
          <w:lang w:val="es-ES_tradnl"/>
        </w:rPr>
        <w:t>umas que señale el reglamento.”</w:t>
      </w:r>
      <w:r w:rsidRPr="00862128">
        <w:rPr>
          <w:color w:val="000000"/>
          <w:szCs w:val="20"/>
          <w:lang w:val="es-ES_tradnl"/>
        </w:rPr>
        <w:t xml:space="preserve"> </w:t>
      </w:r>
      <w:r w:rsidRPr="00862128">
        <w:rPr>
          <w:color w:val="000000"/>
          <w:szCs w:val="20"/>
          <w:lang w:val="es-ES_tradnl"/>
        </w:rPr>
        <w:t>Ley 45 de 1990 “Por la cual se expiden normas en materia de intermediación financiera, se regula la actividad aseguradora, se conceden unas facultades y se dictan otras disposiciones”.</w:t>
      </w:r>
    </w:p>
  </w:footnote>
  <w:footnote w:id="93">
    <w:p w:rsidR="008B15E2" w:rsidRPr="00862128" w:rsidRDefault="00862128" w:rsidP="003229EE">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Artículo 1500 del Código Civil</w:t>
      </w:r>
      <w:r w:rsidRPr="00862128">
        <w:rPr>
          <w:color w:val="000000"/>
          <w:szCs w:val="20"/>
        </w:rPr>
        <w:t>.</w:t>
      </w:r>
      <w:r w:rsidRPr="00862128">
        <w:rPr>
          <w:color w:val="000000"/>
          <w:szCs w:val="20"/>
        </w:rPr>
        <w:t xml:space="preserve"> </w:t>
      </w:r>
    </w:p>
  </w:footnote>
  <w:footnote w:id="94">
    <w:p w:rsidR="008B15E2" w:rsidRPr="00862128" w:rsidRDefault="00862128" w:rsidP="00CD050B">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w:t>
      </w:r>
      <w:r w:rsidRPr="00862128" w:rsidDel="00CD050B">
        <w:rPr>
          <w:color w:val="000000"/>
          <w:szCs w:val="20"/>
        </w:rPr>
        <w:t xml:space="preserve"> </w:t>
      </w:r>
    </w:p>
  </w:footnote>
  <w:footnote w:id="95">
    <w:p w:rsidR="008B15E2" w:rsidRPr="00862128" w:rsidRDefault="00862128" w:rsidP="006006E1">
      <w:pPr>
        <w:pStyle w:val="Textonotapie"/>
        <w:rPr>
          <w:color w:val="000000"/>
          <w:szCs w:val="20"/>
          <w:lang w:val="es-ES_tradnl"/>
        </w:rPr>
      </w:pPr>
      <w:r w:rsidRPr="00862128">
        <w:rPr>
          <w:rStyle w:val="Refdenotaalpie"/>
          <w:color w:val="000000"/>
          <w:szCs w:val="20"/>
        </w:rPr>
        <w:footnoteRef/>
      </w:r>
      <w:r w:rsidRPr="00862128">
        <w:rPr>
          <w:color w:val="000000"/>
          <w:szCs w:val="20"/>
        </w:rPr>
        <w:t xml:space="preserve"> </w:t>
      </w:r>
      <w:r w:rsidRPr="00862128">
        <w:rPr>
          <w:color w:val="000000"/>
          <w:szCs w:val="20"/>
          <w:lang w:val="es-ES_tradnl"/>
        </w:rPr>
        <w:t>Artículo</w:t>
      </w:r>
      <w:r w:rsidRPr="00862128">
        <w:rPr>
          <w:color w:val="000000"/>
          <w:szCs w:val="20"/>
          <w:lang w:val="es-ES_tradnl"/>
        </w:rPr>
        <w:t>s</w:t>
      </w:r>
      <w:r w:rsidRPr="00862128">
        <w:rPr>
          <w:color w:val="000000"/>
          <w:szCs w:val="20"/>
          <w:lang w:val="es-ES_tradnl"/>
        </w:rPr>
        <w:t xml:space="preserve"> 2221 y 2222 del Código Civil</w:t>
      </w:r>
      <w:r w:rsidRPr="00862128">
        <w:rPr>
          <w:color w:val="000000"/>
          <w:szCs w:val="20"/>
          <w:lang w:val="es-ES_tradnl"/>
        </w:rPr>
        <w:t>.</w:t>
      </w:r>
      <w:r w:rsidRPr="00862128">
        <w:rPr>
          <w:color w:val="000000"/>
          <w:szCs w:val="20"/>
          <w:lang w:val="es-ES_tradnl"/>
        </w:rPr>
        <w:t xml:space="preserve"> La Corte hace énfasis en este contrato porque los </w:t>
      </w:r>
      <w:r w:rsidRPr="00862128">
        <w:rPr>
          <w:bCs/>
          <w:color w:val="000000"/>
          <w:szCs w:val="20"/>
          <w:lang w:val="es-ES"/>
        </w:rPr>
        <w:t>reproches del demandante se centran en el muto o préstamo de consumo y no en todos los demás que incluye el artículo en donde se encuentra la expresión dem</w:t>
      </w:r>
      <w:r w:rsidRPr="00862128">
        <w:rPr>
          <w:bCs/>
          <w:color w:val="000000"/>
          <w:szCs w:val="20"/>
          <w:lang w:val="es-ES"/>
        </w:rPr>
        <w:t>andada.</w:t>
      </w:r>
    </w:p>
  </w:footnote>
  <w:footnote w:id="96">
    <w:p w:rsidR="00B059B6" w:rsidRPr="00975D97" w:rsidRDefault="00862128" w:rsidP="00B059B6">
      <w:pPr>
        <w:pStyle w:val="Textonotapie"/>
      </w:pPr>
      <w:r w:rsidRPr="00975D97">
        <w:rPr>
          <w:rStyle w:val="Refdenotaalpie"/>
        </w:rPr>
        <w:footnoteRef/>
      </w:r>
      <w:r w:rsidRPr="00975D97">
        <w:t xml:space="preserve"> Por medio de la cual se expide el Estatuto de Consumidor y se dictan otras disposiciones</w:t>
      </w:r>
    </w:p>
  </w:footnote>
  <w:footnote w:id="97">
    <w:p w:rsidR="001747D3" w:rsidRPr="00975D97" w:rsidRDefault="00862128" w:rsidP="001747D3">
      <w:pPr>
        <w:pStyle w:val="Textonotapie"/>
        <w:rPr>
          <w:lang w:val="es-ES"/>
        </w:rPr>
      </w:pPr>
      <w:r w:rsidRPr="00975D97">
        <w:rPr>
          <w:rStyle w:val="Refdenotaalpie"/>
        </w:rPr>
        <w:footnoteRef/>
      </w:r>
      <w:r w:rsidRPr="00975D97">
        <w:t xml:space="preserve"> Expediente digital, archivo “Corrección a la demanda”, p. 5.</w:t>
      </w:r>
    </w:p>
    <w:p w:rsidR="001747D3" w:rsidRPr="00975D97" w:rsidRDefault="00862128" w:rsidP="001747D3">
      <w:pPr>
        <w:pStyle w:val="Textonotapie"/>
      </w:pPr>
    </w:p>
  </w:footnote>
  <w:footnote w:id="98">
    <w:p w:rsidR="00A63276" w:rsidRPr="00975D97" w:rsidRDefault="00862128" w:rsidP="00CD050B">
      <w:pPr>
        <w:pStyle w:val="Textonotapie"/>
        <w:rPr>
          <w:lang w:val="es-ES"/>
        </w:rPr>
      </w:pPr>
      <w:r w:rsidRPr="00975D97">
        <w:rPr>
          <w:rStyle w:val="Refdenotaalpie"/>
        </w:rPr>
        <w:footnoteRef/>
      </w:r>
      <w:r w:rsidRPr="00975D97">
        <w:t xml:space="preserve"> </w:t>
      </w:r>
      <w:r w:rsidRPr="00975D97">
        <w:rPr>
          <w:i/>
          <w:iCs/>
        </w:rPr>
        <w:t>Ibidem</w:t>
      </w:r>
      <w:r w:rsidRPr="00975D97">
        <w:t> </w:t>
      </w:r>
      <w:r w:rsidRPr="00975D97">
        <w:t>, p. 5.</w:t>
      </w:r>
    </w:p>
    <w:p w:rsidR="00A63276" w:rsidRPr="00975D97" w:rsidRDefault="00862128" w:rsidP="00A63276">
      <w:pPr>
        <w:pStyle w:val="Textonotapie"/>
      </w:pPr>
    </w:p>
  </w:footnote>
  <w:footnote w:id="99">
    <w:p w:rsidR="001A7EA7" w:rsidRPr="00862128" w:rsidRDefault="00862128" w:rsidP="001A7EA7">
      <w:pPr>
        <w:pStyle w:val="Textonotapie"/>
        <w:rPr>
          <w:color w:val="000000"/>
          <w:szCs w:val="20"/>
          <w:lang w:val="es-ES"/>
        </w:rPr>
      </w:pPr>
      <w:r w:rsidRPr="00862128">
        <w:rPr>
          <w:rStyle w:val="Refdenotaalpie"/>
          <w:color w:val="000000"/>
          <w:szCs w:val="20"/>
        </w:rPr>
        <w:footnoteRef/>
      </w:r>
      <w:r w:rsidRPr="00862128">
        <w:rPr>
          <w:color w:val="000000"/>
          <w:szCs w:val="20"/>
        </w:rPr>
        <w:t xml:space="preserve"> Expediente digital, archivo “D0016557-Presentación Demanda-(2025-05-06 </w:t>
      </w:r>
      <w:r w:rsidRPr="00862128">
        <w:rPr>
          <w:color w:val="000000"/>
          <w:szCs w:val="20"/>
        </w:rPr>
        <w:t>11-32-38).pdf”, p. 21-22.</w:t>
      </w:r>
    </w:p>
  </w:footnote>
  <w:footnote w:id="100">
    <w:p w:rsidR="00530A66" w:rsidRPr="00862128" w:rsidRDefault="00862128" w:rsidP="00CD050B">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xml:space="preserve">, </w:t>
      </w:r>
      <w:r w:rsidRPr="00862128">
        <w:rPr>
          <w:color w:val="000000"/>
          <w:szCs w:val="20"/>
        </w:rPr>
        <w:t>p. 8-9</w:t>
      </w:r>
    </w:p>
  </w:footnote>
  <w:footnote w:id="101">
    <w:p w:rsidR="001A7EA7" w:rsidRPr="00862128" w:rsidRDefault="00862128" w:rsidP="00CD050B">
      <w:pPr>
        <w:pStyle w:val="Textonotapie"/>
        <w:rPr>
          <w:color w:val="000000"/>
          <w:szCs w:val="20"/>
          <w:lang w:val="es-ES"/>
        </w:rPr>
      </w:pPr>
      <w:r w:rsidRPr="00862128">
        <w:rPr>
          <w:rStyle w:val="Refdenotaalpie"/>
          <w:color w:val="000000"/>
          <w:szCs w:val="20"/>
        </w:rPr>
        <w:footnoteRef/>
      </w:r>
      <w:r w:rsidRPr="00862128">
        <w:rPr>
          <w:color w:val="000000"/>
          <w:szCs w:val="20"/>
        </w:rPr>
        <w:t xml:space="preserve"> </w:t>
      </w:r>
      <w:r w:rsidRPr="00862128">
        <w:rPr>
          <w:i/>
          <w:iCs/>
          <w:color w:val="000000"/>
          <w:szCs w:val="20"/>
        </w:rPr>
        <w:t>Ibidem</w:t>
      </w:r>
      <w:r w:rsidRPr="00862128">
        <w:rPr>
          <w:color w:val="000000"/>
          <w:szCs w:val="20"/>
        </w:rPr>
        <w:t xml:space="preserve">, </w:t>
      </w:r>
      <w:r w:rsidRPr="00862128">
        <w:rPr>
          <w:color w:val="000000"/>
          <w:szCs w:val="20"/>
        </w:rPr>
        <w:t>p. 21.</w:t>
      </w:r>
    </w:p>
  </w:footnote>
  <w:footnote w:id="102">
    <w:p w:rsidR="009365F4" w:rsidRPr="00975D97" w:rsidRDefault="00862128" w:rsidP="009365F4">
      <w:pPr>
        <w:pStyle w:val="Textonotapie"/>
      </w:pPr>
      <w:r w:rsidRPr="00975D97">
        <w:rPr>
          <w:rStyle w:val="Refdenotaalpie"/>
        </w:rPr>
        <w:footnoteRef/>
      </w:r>
      <w:r w:rsidRPr="00975D97">
        <w:t xml:space="preserve"> La Corte Constitucional, citando el artículo 333 de la Constitución</w:t>
      </w:r>
      <w:r w:rsidRPr="00975D97">
        <w:t>,</w:t>
      </w:r>
      <w:r w:rsidRPr="00975D97">
        <w:t xml:space="preserve"> ha señalado que “las libertades económicas solamente pueden ser restringidas cuando lo exija el interés social, el ambiente y el patrimonio cultural de la Nación. Adicionalmente, en virtud de los principios de igualdad y razonabilidad que rigen la activid</w:t>
      </w:r>
      <w:r w:rsidRPr="00975D97">
        <w:t>ad legislativa, la Corte ha señalado que cualquier restricción de las libertades económicas debe </w:t>
      </w:r>
      <w:r w:rsidRPr="00975D97">
        <w:rPr>
          <w:b/>
          <w:bCs/>
        </w:rPr>
        <w:t>(i) </w:t>
      </w:r>
      <w:r w:rsidRPr="00975D97">
        <w:t>respetar el núcleo esencial de la libertad involucrada, </w:t>
      </w:r>
      <w:r w:rsidRPr="00975D97">
        <w:rPr>
          <w:b/>
          <w:bCs/>
        </w:rPr>
        <w:t>(ii) </w:t>
      </w:r>
      <w:r w:rsidRPr="00975D97">
        <w:t>obedecer al principio de solidaridad o a alguna de las finalidades expresamente señaladas en l</w:t>
      </w:r>
      <w:r w:rsidRPr="00975D97">
        <w:t>a Constitución, y </w:t>
      </w:r>
      <w:r w:rsidRPr="00975D97">
        <w:rPr>
          <w:b/>
          <w:bCs/>
        </w:rPr>
        <w:t>(iii) </w:t>
      </w:r>
      <w:r w:rsidRPr="00975D97">
        <w:t>responder a criterios de razonabilidad y proporcionalidad.</w:t>
      </w:r>
    </w:p>
    <w:p w:rsidR="009365F4" w:rsidRPr="00975D97" w:rsidRDefault="00862128" w:rsidP="009365F4">
      <w:pPr>
        <w:pStyle w:val="Textonotapie"/>
      </w:pPr>
    </w:p>
    <w:p w:rsidR="009365F4" w:rsidRPr="00975D97" w:rsidRDefault="00862128" w:rsidP="00BF6ACB">
      <w:pPr>
        <w:pStyle w:val="Textonotapie"/>
      </w:pPr>
      <w:r w:rsidRPr="00975D97">
        <w:t>La definición de cuál es el </w:t>
      </w:r>
      <w:r w:rsidRPr="00975D97">
        <w:rPr>
          <w:b/>
          <w:bCs/>
        </w:rPr>
        <w:t>“núcleo esencial”</w:t>
      </w:r>
      <w:r w:rsidRPr="00975D97">
        <w:t> de las libertades económicas no es una tarea sencilla; en materia de </w:t>
      </w:r>
      <w:r w:rsidRPr="00975D97">
        <w:rPr>
          <w:b/>
          <w:bCs/>
        </w:rPr>
        <w:t>libertad de empresa</w:t>
      </w:r>
      <w:r w:rsidRPr="00975D97">
        <w:t>, entre otros contenidos, se pueden me</w:t>
      </w:r>
      <w:r w:rsidRPr="00975D97">
        <w:t>ncionar los siguientes: </w:t>
      </w:r>
      <w:r w:rsidRPr="00975D97">
        <w:rPr>
          <w:b/>
          <w:bCs/>
        </w:rPr>
        <w:t>(i) </w:t>
      </w:r>
      <w:r w:rsidRPr="00975D97">
        <w:t>el derecho a un tratamiento igual y no discriminatorio entre empresarios o competidores que se hallan en la misma posición; </w:t>
      </w:r>
      <w:r w:rsidRPr="00975D97">
        <w:rPr>
          <w:b/>
          <w:bCs/>
        </w:rPr>
        <w:t>(ii) </w:t>
      </w:r>
      <w:r w:rsidRPr="00975D97">
        <w:t>el derecho a concurrir al mercado o retirarse; </w:t>
      </w:r>
      <w:r w:rsidRPr="00975D97">
        <w:rPr>
          <w:b/>
          <w:bCs/>
        </w:rPr>
        <w:t>(iii) </w:t>
      </w:r>
      <w:r w:rsidRPr="00975D97">
        <w:t>la libertad de organización y el derecho a que</w:t>
      </w:r>
      <w:r w:rsidRPr="00975D97">
        <w:t xml:space="preserve"> el Estado no interfiera en los asuntos internos de la empresa como la organización empresarial y los métodos de gestión; </w:t>
      </w:r>
      <w:r w:rsidRPr="00975D97">
        <w:rPr>
          <w:b/>
          <w:bCs/>
        </w:rPr>
        <w:t>(iv) </w:t>
      </w:r>
      <w:r w:rsidRPr="00975D97">
        <w:t>el derecho a la libre iniciativa privada; </w:t>
      </w:r>
      <w:r w:rsidRPr="00975D97">
        <w:rPr>
          <w:b/>
          <w:bCs/>
        </w:rPr>
        <w:t>(v) </w:t>
      </w:r>
      <w:r w:rsidRPr="00975D97">
        <w:t>el derecho a la creación de establecimientos de comercio con el cumplimiento de los</w:t>
      </w:r>
      <w:r w:rsidRPr="00975D97">
        <w:t xml:space="preserve"> requisitos que exija la ley; y </w:t>
      </w:r>
      <w:r w:rsidRPr="00975D97">
        <w:rPr>
          <w:b/>
          <w:bCs/>
        </w:rPr>
        <w:t>(vi) </w:t>
      </w:r>
      <w:r w:rsidRPr="00975D97">
        <w:t>el derecho a recibir un beneficio económico razonable.</w:t>
      </w:r>
      <w:r w:rsidRPr="00975D97">
        <w:t xml:space="preserve">” </w:t>
      </w:r>
      <w:r w:rsidRPr="00975D97">
        <w:t xml:space="preserve"> (Corte Constitucional, sentencia C-263 de 2011)</w:t>
      </w:r>
      <w:r w:rsidRPr="00975D97">
        <w:t xml:space="preserve"> (Énfasis en el original)</w:t>
      </w:r>
    </w:p>
    <w:p w:rsidR="009365F4" w:rsidRPr="00975D97" w:rsidRDefault="00862128">
      <w:pPr>
        <w:pStyle w:val="Textonotapie"/>
      </w:pPr>
    </w:p>
  </w:footnote>
  <w:footnote w:id="103">
    <w:p w:rsidR="000B78ED" w:rsidRPr="00975D97" w:rsidRDefault="00862128">
      <w:pPr>
        <w:pStyle w:val="Textonotapie"/>
      </w:pPr>
      <w:r w:rsidRPr="00975D97">
        <w:rPr>
          <w:rStyle w:val="Refdenotaalpie"/>
        </w:rPr>
        <w:footnoteRef/>
      </w:r>
      <w:r w:rsidRPr="00975D97">
        <w:t xml:space="preserve"> Corte Constitucional, sentencia C-1059 de 2008, citada en la sentencia C-292 de 2019.</w:t>
      </w:r>
    </w:p>
  </w:footnote>
  <w:footnote w:id="104">
    <w:p w:rsidR="00C003BE" w:rsidRPr="00975D97" w:rsidRDefault="00862128" w:rsidP="00343B81">
      <w:pPr>
        <w:pStyle w:val="Textonotapie"/>
      </w:pPr>
      <w:r w:rsidRPr="00975D97">
        <w:rPr>
          <w:rStyle w:val="Refdenotaalpie"/>
        </w:rPr>
        <w:footnoteRef/>
      </w:r>
      <w:r w:rsidRPr="00975D97">
        <w:rPr>
          <w:lang w:val="es-ES"/>
        </w:rPr>
        <w:t xml:space="preserve"> </w:t>
      </w:r>
      <w:r w:rsidRPr="00975D97">
        <w:rPr>
          <w:i/>
          <w:iCs/>
        </w:rPr>
        <w:t>Ibidem</w:t>
      </w:r>
      <w:r w:rsidRPr="00975D97">
        <w:t> </w:t>
      </w:r>
    </w:p>
  </w:footnote>
  <w:footnote w:id="105">
    <w:p w:rsidR="007C5DA9" w:rsidRPr="00975D97" w:rsidRDefault="00862128" w:rsidP="00343B81">
      <w:pPr>
        <w:pStyle w:val="Textonotapie"/>
        <w:rPr>
          <w:lang w:val="es-ES_tradnl"/>
        </w:rPr>
      </w:pPr>
      <w:r w:rsidRPr="00975D97">
        <w:rPr>
          <w:rStyle w:val="Refdenotaalpie"/>
        </w:rPr>
        <w:footnoteRef/>
      </w:r>
      <w:r w:rsidRPr="00975D97">
        <w:t xml:space="preserve"> </w:t>
      </w:r>
      <w:r w:rsidRPr="00975D97">
        <w:rPr>
          <w:i/>
          <w:iCs/>
        </w:rPr>
        <w:t>Ibidem</w:t>
      </w:r>
      <w:r w:rsidRPr="00975D97">
        <w:t> </w:t>
      </w:r>
    </w:p>
  </w:footnote>
  <w:footnote w:id="106">
    <w:p w:rsidR="007C5DA9" w:rsidRPr="00975D97" w:rsidRDefault="00862128" w:rsidP="00343B81">
      <w:pPr>
        <w:pStyle w:val="Textonotapie"/>
        <w:rPr>
          <w:lang w:val="es-ES_tradnl"/>
        </w:rPr>
      </w:pPr>
      <w:r w:rsidRPr="00975D97">
        <w:rPr>
          <w:rStyle w:val="Refdenotaalpie"/>
        </w:rPr>
        <w:footnoteRef/>
      </w:r>
      <w:r w:rsidRPr="00975D97">
        <w:t xml:space="preserve"> </w:t>
      </w:r>
      <w:r w:rsidRPr="00975D97">
        <w:rPr>
          <w:i/>
          <w:iCs/>
        </w:rPr>
        <w:t>Ibidem</w:t>
      </w:r>
      <w:r w:rsidRPr="00975D97">
        <w:t> </w:t>
      </w:r>
    </w:p>
  </w:footnote>
  <w:footnote w:id="107">
    <w:p w:rsidR="007C5DA9" w:rsidRPr="00975D97" w:rsidRDefault="00862128" w:rsidP="00343B81">
      <w:pPr>
        <w:pStyle w:val="Textonotapie"/>
        <w:rPr>
          <w:lang w:val="es-ES_tradnl"/>
        </w:rPr>
      </w:pPr>
      <w:r w:rsidRPr="00975D97">
        <w:rPr>
          <w:rStyle w:val="Refdenotaalpie"/>
        </w:rPr>
        <w:footnoteRef/>
      </w:r>
      <w:r w:rsidRPr="00975D97">
        <w:t xml:space="preserve"> </w:t>
      </w:r>
      <w:r w:rsidRPr="00975D97">
        <w:rPr>
          <w:i/>
          <w:iCs/>
        </w:rPr>
        <w:t>Ibidem</w:t>
      </w:r>
      <w:r w:rsidRPr="00975D97">
        <w:t> </w:t>
      </w:r>
    </w:p>
  </w:footnote>
  <w:footnote w:id="108">
    <w:p w:rsidR="00E81156" w:rsidRPr="00987D26" w:rsidRDefault="00862128" w:rsidP="00E81156">
      <w:pPr>
        <w:pStyle w:val="Textonotapie"/>
        <w:rPr>
          <w:lang w:val="es-ES"/>
        </w:rPr>
      </w:pPr>
      <w:r w:rsidRPr="00975D97">
        <w:rPr>
          <w:rStyle w:val="Refdenotaalpie"/>
        </w:rPr>
        <w:footnoteRef/>
      </w:r>
      <w:r w:rsidRPr="00975D97">
        <w:t xml:space="preserve"> Expediente digital, archivo “Corrección a la demanda”, p. 4 y 5.</w:t>
      </w:r>
    </w:p>
    <w:p w:rsidR="00E81156" w:rsidRPr="00987D26" w:rsidRDefault="00862128" w:rsidP="00E81156">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F4F9B"/>
    <w:multiLevelType w:val="multilevel"/>
    <w:tmpl w:val="591E360C"/>
    <w:styleLink w:val="CurrentList1"/>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C3F50A3"/>
    <w:multiLevelType w:val="multilevel"/>
    <w:tmpl w:val="9372F652"/>
    <w:lvl w:ilvl="0">
      <w:start w:val="1"/>
      <w:numFmt w:val="decimal"/>
      <w:pStyle w:val="Prrafonumerado"/>
      <w:lvlText w:val="%1."/>
      <w:lvlJc w:val="left"/>
      <w:pPr>
        <w:ind w:left="360" w:hanging="360"/>
      </w:pPr>
      <w:rPr>
        <w:rFonts w:hint="default"/>
        <w:b w:val="0"/>
        <w:bCs/>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437D4E20"/>
    <w:multiLevelType w:val="hybridMultilevel"/>
    <w:tmpl w:val="6060DD40"/>
    <w:lvl w:ilvl="0" w:tplc="10FE45BA">
      <w:numFmt w:val="bullet"/>
      <w:lvlText w:val="-"/>
      <w:lvlJc w:val="left"/>
      <w:pPr>
        <w:ind w:left="720" w:hanging="360"/>
      </w:pPr>
      <w:rPr>
        <w:rFonts w:ascii="Aptos" w:eastAsia="Times New Roman" w:hAnsi="Aptos"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44070F5"/>
    <w:multiLevelType w:val="hybridMultilevel"/>
    <w:tmpl w:val="4B24216A"/>
    <w:lvl w:ilvl="0" w:tplc="2F506590">
      <w:start w:val="1"/>
      <w:numFmt w:val="upperRoman"/>
      <w:lvlText w:val="%1."/>
      <w:lvlJc w:val="left"/>
      <w:pPr>
        <w:ind w:left="800" w:hanging="720"/>
      </w:pPr>
      <w:rPr>
        <w:rFonts w:hint="default"/>
        <w:b/>
        <w:bCs/>
      </w:rPr>
    </w:lvl>
    <w:lvl w:ilvl="1" w:tplc="040A0019" w:tentative="1">
      <w:start w:val="1"/>
      <w:numFmt w:val="lowerLetter"/>
      <w:lvlText w:val="%2."/>
      <w:lvlJc w:val="left"/>
      <w:pPr>
        <w:ind w:left="1160" w:hanging="360"/>
      </w:pPr>
    </w:lvl>
    <w:lvl w:ilvl="2" w:tplc="040A001B" w:tentative="1">
      <w:start w:val="1"/>
      <w:numFmt w:val="lowerRoman"/>
      <w:lvlText w:val="%3."/>
      <w:lvlJc w:val="right"/>
      <w:pPr>
        <w:ind w:left="1880" w:hanging="180"/>
      </w:pPr>
    </w:lvl>
    <w:lvl w:ilvl="3" w:tplc="040A000F" w:tentative="1">
      <w:start w:val="1"/>
      <w:numFmt w:val="decimal"/>
      <w:lvlText w:val="%4."/>
      <w:lvlJc w:val="left"/>
      <w:pPr>
        <w:ind w:left="2600" w:hanging="360"/>
      </w:pPr>
    </w:lvl>
    <w:lvl w:ilvl="4" w:tplc="040A0019" w:tentative="1">
      <w:start w:val="1"/>
      <w:numFmt w:val="lowerLetter"/>
      <w:lvlText w:val="%5."/>
      <w:lvlJc w:val="left"/>
      <w:pPr>
        <w:ind w:left="3320" w:hanging="360"/>
      </w:pPr>
    </w:lvl>
    <w:lvl w:ilvl="5" w:tplc="040A001B" w:tentative="1">
      <w:start w:val="1"/>
      <w:numFmt w:val="lowerRoman"/>
      <w:lvlText w:val="%6."/>
      <w:lvlJc w:val="right"/>
      <w:pPr>
        <w:ind w:left="4040" w:hanging="180"/>
      </w:pPr>
    </w:lvl>
    <w:lvl w:ilvl="6" w:tplc="040A000F" w:tentative="1">
      <w:start w:val="1"/>
      <w:numFmt w:val="decimal"/>
      <w:lvlText w:val="%7."/>
      <w:lvlJc w:val="left"/>
      <w:pPr>
        <w:ind w:left="4760" w:hanging="360"/>
      </w:pPr>
    </w:lvl>
    <w:lvl w:ilvl="7" w:tplc="040A0019" w:tentative="1">
      <w:start w:val="1"/>
      <w:numFmt w:val="lowerLetter"/>
      <w:lvlText w:val="%8."/>
      <w:lvlJc w:val="left"/>
      <w:pPr>
        <w:ind w:left="5480" w:hanging="360"/>
      </w:pPr>
    </w:lvl>
    <w:lvl w:ilvl="8" w:tplc="040A001B" w:tentative="1">
      <w:start w:val="1"/>
      <w:numFmt w:val="lowerRoman"/>
      <w:lvlText w:val="%9."/>
      <w:lvlJc w:val="right"/>
      <w:pPr>
        <w:ind w:left="6200" w:hanging="180"/>
      </w:pPr>
    </w:lvl>
  </w:abstractNum>
  <w:abstractNum w:abstractNumId="4" w15:restartNumberingAfterBreak="0">
    <w:nsid w:val="798D6E35"/>
    <w:multiLevelType w:val="hybridMultilevel"/>
    <w:tmpl w:val="4554FA32"/>
    <w:lvl w:ilvl="0" w:tplc="F2809A96">
      <w:start w:val="8"/>
      <w:numFmt w:val="decimal"/>
      <w:lvlText w:val="%1."/>
      <w:lvlJc w:val="left"/>
      <w:pPr>
        <w:ind w:left="2061" w:hanging="360"/>
      </w:pPr>
      <w:rPr>
        <w:rFonts w:hint="default"/>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E558A"/>
    <w:rsid w:val="00862128"/>
    <w:rsid w:val="0091016A"/>
    <w:rsid w:val="00CE55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D11AFE5-EBBD-4A53-8120-97967F670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sz w:val="22"/>
      <w:szCs w:val="22"/>
    </w:rPr>
  </w:style>
  <w:style w:type="paragraph" w:styleId="Ttulo1">
    <w:name w:val="heading 1"/>
    <w:basedOn w:val="Normal"/>
    <w:next w:val="Normal"/>
    <w:link w:val="Ttulo1Car"/>
    <w:uiPriority w:val="9"/>
    <w:qFormat/>
    <w:rsid w:val="00705B83"/>
    <w:pPr>
      <w:keepNext/>
      <w:keepLines/>
      <w:spacing w:before="360" w:after="80"/>
      <w:outlineLvl w:val="0"/>
    </w:pPr>
    <w:rPr>
      <w:rFonts w:ascii="Calibri Light" w:hAnsi="Calibri Light"/>
      <w:color w:val="2F5496"/>
      <w:sz w:val="40"/>
      <w:szCs w:val="40"/>
    </w:rPr>
  </w:style>
  <w:style w:type="paragraph" w:styleId="Ttulo2">
    <w:name w:val="heading 2"/>
    <w:basedOn w:val="Normal"/>
    <w:next w:val="Normal"/>
    <w:link w:val="Ttulo2Car"/>
    <w:uiPriority w:val="9"/>
    <w:unhideWhenUsed/>
    <w:qFormat/>
    <w:rsid w:val="00705B83"/>
    <w:pPr>
      <w:keepNext/>
      <w:keepLines/>
      <w:spacing w:before="160" w:after="80"/>
      <w:outlineLvl w:val="1"/>
    </w:pPr>
    <w:rPr>
      <w:rFonts w:ascii="Calibri Light" w:hAnsi="Calibri Light"/>
      <w:color w:val="2F5496"/>
      <w:sz w:val="32"/>
      <w:szCs w:val="32"/>
    </w:rPr>
  </w:style>
  <w:style w:type="paragraph" w:styleId="Ttulo3">
    <w:name w:val="heading 3"/>
    <w:basedOn w:val="Normal"/>
    <w:next w:val="Normal"/>
    <w:link w:val="Ttulo3Car"/>
    <w:uiPriority w:val="9"/>
    <w:unhideWhenUsed/>
    <w:qFormat/>
    <w:rsid w:val="00705B83"/>
    <w:pPr>
      <w:keepNext/>
      <w:keepLines/>
      <w:spacing w:before="160" w:after="80"/>
      <w:outlineLvl w:val="2"/>
    </w:pPr>
    <w:rPr>
      <w:color w:val="2F5496"/>
      <w:sz w:val="28"/>
      <w:szCs w:val="28"/>
    </w:rPr>
  </w:style>
  <w:style w:type="paragraph" w:styleId="Ttulo4">
    <w:name w:val="heading 4"/>
    <w:basedOn w:val="Normal"/>
    <w:next w:val="Normal"/>
    <w:link w:val="Ttulo4Car"/>
    <w:uiPriority w:val="9"/>
    <w:semiHidden/>
    <w:unhideWhenUsed/>
    <w:qFormat/>
    <w:rsid w:val="00705B83"/>
    <w:pPr>
      <w:keepNext/>
      <w:keepLines/>
      <w:spacing w:before="80" w:after="40"/>
      <w:outlineLvl w:val="3"/>
    </w:pPr>
    <w:rPr>
      <w:i/>
      <w:iCs/>
      <w:color w:val="2F5496"/>
    </w:rPr>
  </w:style>
  <w:style w:type="paragraph" w:styleId="Ttulo5">
    <w:name w:val="heading 5"/>
    <w:basedOn w:val="Normal"/>
    <w:next w:val="Normal"/>
    <w:link w:val="Ttulo5Car"/>
    <w:uiPriority w:val="9"/>
    <w:semiHidden/>
    <w:unhideWhenUsed/>
    <w:qFormat/>
    <w:rsid w:val="00705B83"/>
    <w:pPr>
      <w:keepNext/>
      <w:keepLines/>
      <w:spacing w:before="80" w:after="40"/>
      <w:outlineLvl w:val="4"/>
    </w:pPr>
    <w:rPr>
      <w:color w:val="2F5496"/>
    </w:rPr>
  </w:style>
  <w:style w:type="paragraph" w:styleId="Ttulo6">
    <w:name w:val="heading 6"/>
    <w:basedOn w:val="Normal"/>
    <w:next w:val="Normal"/>
    <w:link w:val="Ttulo6Car"/>
    <w:uiPriority w:val="9"/>
    <w:semiHidden/>
    <w:unhideWhenUsed/>
    <w:qFormat/>
    <w:rsid w:val="00705B83"/>
    <w:pPr>
      <w:keepNext/>
      <w:keepLines/>
      <w:spacing w:before="40"/>
      <w:outlineLvl w:val="5"/>
    </w:pPr>
    <w:rPr>
      <w:i/>
      <w:iCs/>
      <w:color w:val="595959"/>
    </w:rPr>
  </w:style>
  <w:style w:type="paragraph" w:styleId="Ttulo7">
    <w:name w:val="heading 7"/>
    <w:basedOn w:val="Normal"/>
    <w:next w:val="Normal"/>
    <w:link w:val="Ttulo7Car"/>
    <w:uiPriority w:val="9"/>
    <w:semiHidden/>
    <w:unhideWhenUsed/>
    <w:qFormat/>
    <w:rsid w:val="00705B83"/>
    <w:pPr>
      <w:keepNext/>
      <w:keepLines/>
      <w:spacing w:before="40"/>
      <w:outlineLvl w:val="6"/>
    </w:pPr>
    <w:rPr>
      <w:color w:val="595959"/>
    </w:rPr>
  </w:style>
  <w:style w:type="paragraph" w:styleId="Ttulo8">
    <w:name w:val="heading 8"/>
    <w:basedOn w:val="Normal"/>
    <w:next w:val="Normal"/>
    <w:link w:val="Ttulo8Car"/>
    <w:uiPriority w:val="9"/>
    <w:semiHidden/>
    <w:unhideWhenUsed/>
    <w:qFormat/>
    <w:rsid w:val="00705B83"/>
    <w:pPr>
      <w:keepNext/>
      <w:keepLines/>
      <w:outlineLvl w:val="7"/>
    </w:pPr>
    <w:rPr>
      <w:i/>
      <w:iCs/>
      <w:color w:val="272727"/>
    </w:rPr>
  </w:style>
  <w:style w:type="paragraph" w:styleId="Ttulo9">
    <w:name w:val="heading 9"/>
    <w:basedOn w:val="Normal"/>
    <w:next w:val="Normal"/>
    <w:link w:val="Ttulo9Car"/>
    <w:uiPriority w:val="9"/>
    <w:semiHidden/>
    <w:unhideWhenUsed/>
    <w:qFormat/>
    <w:rsid w:val="00705B83"/>
    <w:pPr>
      <w:keepNext/>
      <w:keepLines/>
      <w:outlineLvl w:val="8"/>
    </w:pPr>
    <w:rPr>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705B83"/>
    <w:rPr>
      <w:rFonts w:ascii="Calibri Light" w:eastAsia="Times New Roman" w:hAnsi="Calibri Light" w:cs="Times New Roman"/>
      <w:color w:val="2F5496"/>
      <w:sz w:val="40"/>
      <w:szCs w:val="40"/>
    </w:rPr>
  </w:style>
  <w:style w:type="character" w:customStyle="1" w:styleId="Ttulo2Car">
    <w:name w:val="Título 2 Car"/>
    <w:link w:val="Ttulo2"/>
    <w:uiPriority w:val="9"/>
    <w:rsid w:val="00705B83"/>
    <w:rPr>
      <w:rFonts w:ascii="Calibri Light" w:eastAsia="Times New Roman" w:hAnsi="Calibri Light" w:cs="Times New Roman"/>
      <w:color w:val="2F5496"/>
      <w:sz w:val="32"/>
      <w:szCs w:val="32"/>
    </w:rPr>
  </w:style>
  <w:style w:type="character" w:customStyle="1" w:styleId="Ttulo3Car">
    <w:name w:val="Título 3 Car"/>
    <w:link w:val="Ttulo3"/>
    <w:uiPriority w:val="9"/>
    <w:rsid w:val="00705B83"/>
    <w:rPr>
      <w:rFonts w:eastAsia="Times New Roman" w:cs="Times New Roman"/>
      <w:color w:val="2F5496"/>
      <w:sz w:val="28"/>
      <w:szCs w:val="28"/>
    </w:rPr>
  </w:style>
  <w:style w:type="character" w:customStyle="1" w:styleId="Ttulo4Car">
    <w:name w:val="Título 4 Car"/>
    <w:link w:val="Ttulo4"/>
    <w:uiPriority w:val="9"/>
    <w:rsid w:val="00705B83"/>
    <w:rPr>
      <w:rFonts w:eastAsia="Times New Roman" w:cs="Times New Roman"/>
      <w:i/>
      <w:iCs/>
      <w:color w:val="2F5496"/>
    </w:rPr>
  </w:style>
  <w:style w:type="character" w:customStyle="1" w:styleId="Ttulo5Car">
    <w:name w:val="Título 5 Car"/>
    <w:link w:val="Ttulo5"/>
    <w:uiPriority w:val="9"/>
    <w:semiHidden/>
    <w:rsid w:val="00705B83"/>
    <w:rPr>
      <w:rFonts w:eastAsia="Times New Roman" w:cs="Times New Roman"/>
      <w:color w:val="2F5496"/>
    </w:rPr>
  </w:style>
  <w:style w:type="character" w:customStyle="1" w:styleId="Ttulo6Car">
    <w:name w:val="Título 6 Car"/>
    <w:link w:val="Ttulo6"/>
    <w:uiPriority w:val="9"/>
    <w:semiHidden/>
    <w:rsid w:val="00705B83"/>
    <w:rPr>
      <w:rFonts w:eastAsia="Times New Roman" w:cs="Times New Roman"/>
      <w:i/>
      <w:iCs/>
      <w:color w:val="595959"/>
    </w:rPr>
  </w:style>
  <w:style w:type="character" w:customStyle="1" w:styleId="Ttulo7Car">
    <w:name w:val="Título 7 Car"/>
    <w:link w:val="Ttulo7"/>
    <w:uiPriority w:val="9"/>
    <w:semiHidden/>
    <w:rsid w:val="00705B83"/>
    <w:rPr>
      <w:rFonts w:eastAsia="Times New Roman" w:cs="Times New Roman"/>
      <w:color w:val="595959"/>
    </w:rPr>
  </w:style>
  <w:style w:type="character" w:customStyle="1" w:styleId="Ttulo8Car">
    <w:name w:val="Título 8 Car"/>
    <w:link w:val="Ttulo8"/>
    <w:uiPriority w:val="9"/>
    <w:semiHidden/>
    <w:rsid w:val="00705B83"/>
    <w:rPr>
      <w:rFonts w:eastAsia="Times New Roman" w:cs="Times New Roman"/>
      <w:i/>
      <w:iCs/>
      <w:color w:val="272727"/>
    </w:rPr>
  </w:style>
  <w:style w:type="character" w:customStyle="1" w:styleId="Ttulo9Car">
    <w:name w:val="Título 9 Car"/>
    <w:link w:val="Ttulo9"/>
    <w:uiPriority w:val="9"/>
    <w:semiHidden/>
    <w:rsid w:val="00705B83"/>
    <w:rPr>
      <w:rFonts w:eastAsia="Times New Roman" w:cs="Times New Roman"/>
      <w:color w:val="272727"/>
    </w:rPr>
  </w:style>
  <w:style w:type="paragraph" w:styleId="Ttulo">
    <w:name w:val="Title"/>
    <w:basedOn w:val="Normal"/>
    <w:next w:val="Normal"/>
    <w:link w:val="TtuloCar"/>
    <w:uiPriority w:val="10"/>
    <w:qFormat/>
    <w:rsid w:val="00705B83"/>
    <w:pPr>
      <w:spacing w:after="80"/>
      <w:contextualSpacing/>
    </w:pPr>
    <w:rPr>
      <w:rFonts w:ascii="Calibri Light" w:hAnsi="Calibri Light"/>
      <w:spacing w:val="-10"/>
      <w:kern w:val="28"/>
      <w:sz w:val="56"/>
      <w:szCs w:val="56"/>
    </w:rPr>
  </w:style>
  <w:style w:type="character" w:customStyle="1" w:styleId="TtuloCar">
    <w:name w:val="Título Car"/>
    <w:link w:val="Ttulo"/>
    <w:uiPriority w:val="10"/>
    <w:rsid w:val="00705B83"/>
    <w:rPr>
      <w:rFonts w:ascii="Calibri Light" w:eastAsia="Times New Roman" w:hAnsi="Calibri Light" w:cs="Times New Roman"/>
      <w:spacing w:val="-10"/>
      <w:kern w:val="28"/>
      <w:sz w:val="56"/>
      <w:szCs w:val="56"/>
    </w:rPr>
  </w:style>
  <w:style w:type="paragraph" w:styleId="Subttulo">
    <w:name w:val="Subtitle"/>
    <w:basedOn w:val="Normal"/>
    <w:next w:val="Normal"/>
    <w:link w:val="SubttuloCar"/>
    <w:uiPriority w:val="11"/>
    <w:qFormat/>
    <w:rsid w:val="00705B83"/>
    <w:pPr>
      <w:numPr>
        <w:ilvl w:val="1"/>
      </w:numPr>
    </w:pPr>
    <w:rPr>
      <w:color w:val="595959"/>
      <w:spacing w:val="15"/>
      <w:sz w:val="28"/>
      <w:szCs w:val="28"/>
    </w:rPr>
  </w:style>
  <w:style w:type="character" w:customStyle="1" w:styleId="SubttuloCar">
    <w:name w:val="Subtítulo Car"/>
    <w:link w:val="Subttulo"/>
    <w:uiPriority w:val="11"/>
    <w:rsid w:val="00705B83"/>
    <w:rPr>
      <w:rFonts w:eastAsia="Times New Roman" w:cs="Times New Roman"/>
      <w:color w:val="595959"/>
      <w:spacing w:val="15"/>
      <w:sz w:val="28"/>
      <w:szCs w:val="28"/>
    </w:rPr>
  </w:style>
  <w:style w:type="paragraph" w:styleId="Cita">
    <w:name w:val="Quote"/>
    <w:basedOn w:val="Normal"/>
    <w:next w:val="Normal"/>
    <w:link w:val="CitaCar"/>
    <w:uiPriority w:val="29"/>
    <w:qFormat/>
    <w:rsid w:val="00705B83"/>
    <w:pPr>
      <w:spacing w:before="160"/>
      <w:jc w:val="center"/>
    </w:pPr>
    <w:rPr>
      <w:i/>
      <w:iCs/>
      <w:color w:val="404040"/>
    </w:rPr>
  </w:style>
  <w:style w:type="character" w:customStyle="1" w:styleId="CitaCar">
    <w:name w:val="Cita Car"/>
    <w:link w:val="Cita"/>
    <w:uiPriority w:val="29"/>
    <w:rsid w:val="00705B83"/>
    <w:rPr>
      <w:i/>
      <w:iCs/>
      <w:color w:val="404040"/>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705B83"/>
    <w:pPr>
      <w:ind w:left="720"/>
      <w:contextualSpacing/>
    </w:pPr>
  </w:style>
  <w:style w:type="character" w:styleId="nfasisintenso">
    <w:name w:val="Intense Emphasis"/>
    <w:uiPriority w:val="21"/>
    <w:qFormat/>
    <w:rsid w:val="00705B83"/>
    <w:rPr>
      <w:i/>
      <w:iCs/>
      <w:color w:val="2F5496"/>
    </w:rPr>
  </w:style>
  <w:style w:type="paragraph" w:styleId="Citadestacada">
    <w:name w:val="Intense Quote"/>
    <w:basedOn w:val="Normal"/>
    <w:next w:val="Normal"/>
    <w:link w:val="CitadestacadaCar"/>
    <w:uiPriority w:val="30"/>
    <w:qFormat/>
    <w:rsid w:val="00705B83"/>
    <w:pPr>
      <w:pBdr>
        <w:top w:val="single" w:sz="4" w:space="10" w:color="2F5496"/>
        <w:bottom w:val="single" w:sz="4" w:space="10" w:color="2F5496"/>
      </w:pBdr>
      <w:spacing w:before="360" w:after="360"/>
      <w:ind w:left="864" w:right="864"/>
      <w:jc w:val="center"/>
    </w:pPr>
    <w:rPr>
      <w:i/>
      <w:iCs/>
      <w:color w:val="2F5496"/>
    </w:rPr>
  </w:style>
  <w:style w:type="character" w:customStyle="1" w:styleId="CitadestacadaCar">
    <w:name w:val="Cita destacada Car"/>
    <w:link w:val="Citadestacada"/>
    <w:uiPriority w:val="30"/>
    <w:rsid w:val="00705B83"/>
    <w:rPr>
      <w:i/>
      <w:iCs/>
      <w:color w:val="2F5496"/>
    </w:rPr>
  </w:style>
  <w:style w:type="character" w:styleId="Referenciaintensa">
    <w:name w:val="Intense Reference"/>
    <w:uiPriority w:val="32"/>
    <w:qFormat/>
    <w:rsid w:val="00705B83"/>
    <w:rPr>
      <w:b/>
      <w:bCs/>
      <w:smallCaps/>
      <w:color w:val="2F5496"/>
      <w:spacing w:val="5"/>
    </w:rPr>
  </w:style>
  <w:style w:type="paragraph" w:styleId="Encabezado">
    <w:name w:val="header"/>
    <w:basedOn w:val="Normal"/>
    <w:link w:val="EncabezadoCar"/>
    <w:uiPriority w:val="99"/>
    <w:unhideWhenUsed/>
    <w:rsid w:val="00705B83"/>
    <w:pPr>
      <w:tabs>
        <w:tab w:val="center" w:pos="4680"/>
        <w:tab w:val="right" w:pos="9360"/>
      </w:tabs>
    </w:pPr>
  </w:style>
  <w:style w:type="character" w:customStyle="1" w:styleId="EncabezadoCar">
    <w:name w:val="Encabezado Car"/>
    <w:link w:val="Encabezado"/>
    <w:uiPriority w:val="99"/>
    <w:rsid w:val="00705B83"/>
    <w:rPr>
      <w:lang w:val="es-CO"/>
    </w:rPr>
  </w:style>
  <w:style w:type="paragraph" w:styleId="Piedepgina">
    <w:name w:val="footer"/>
    <w:basedOn w:val="Normal"/>
    <w:link w:val="PiedepginaCar"/>
    <w:uiPriority w:val="99"/>
    <w:unhideWhenUsed/>
    <w:rsid w:val="00705B83"/>
    <w:pPr>
      <w:tabs>
        <w:tab w:val="center" w:pos="4680"/>
        <w:tab w:val="right" w:pos="9360"/>
      </w:tabs>
    </w:pPr>
  </w:style>
  <w:style w:type="character" w:customStyle="1" w:styleId="PiedepginaCar">
    <w:name w:val="Pie de página Car"/>
    <w:link w:val="Piedepgina"/>
    <w:uiPriority w:val="99"/>
    <w:rsid w:val="00705B83"/>
    <w:rPr>
      <w:lang w:val="es-CO"/>
    </w:rPr>
  </w:style>
  <w:style w:type="paragraph" w:styleId="Textonotapie">
    <w:name w:val="footnote text"/>
    <w:aliases w:val="Footnote Text Char Char Char Char Char,Footnote Text Char Char Char Char,Footnote reference,FA Fu,Footnote Text Char Char Char,texto de nota al pie,Ref. de nota al pie1,referencia nota al pie,Footnote Text Cha,ft,fn,Nota a pie,4_"/>
    <w:basedOn w:val="Normal"/>
    <w:link w:val="TextonotapieCar"/>
    <w:uiPriority w:val="99"/>
    <w:unhideWhenUsed/>
    <w:qFormat/>
    <w:rsid w:val="002E6441"/>
    <w:pPr>
      <w:jc w:val="both"/>
    </w:pPr>
    <w:rPr>
      <w:rFonts w:ascii="Times New Roman" w:hAnsi="Times New Roman"/>
      <w:sz w:val="20"/>
    </w:rPr>
  </w:style>
  <w:style w:type="character" w:customStyle="1" w:styleId="FootnoteTextChar">
    <w:name w:val="Footnote Text Char"/>
    <w:uiPriority w:val="99"/>
    <w:semiHidden/>
    <w:rsid w:val="00705B83"/>
    <w:rPr>
      <w:sz w:val="20"/>
      <w:szCs w:val="20"/>
      <w:lang w:val="es-CO"/>
    </w:rPr>
  </w:style>
  <w:style w:type="character" w:customStyle="1" w:styleId="TextonotapieCar">
    <w:name w:val="Texto nota pie Car"/>
    <w:aliases w:val="Footnote Text Char Char Char Char Char Car,Footnote Text Char Char Char Char Car,Footnote reference Car,FA Fu Car,Footnote Text Char Char Char Car,texto de nota al pie Car,Ref. de nota al pie1 Car,referencia nota al pie Car,ft Car"/>
    <w:link w:val="Textonotapie"/>
    <w:uiPriority w:val="99"/>
    <w:qFormat/>
    <w:rsid w:val="002E6441"/>
    <w:rPr>
      <w:rFonts w:ascii="Times New Roman" w:hAnsi="Times New Roman" w:cs="Times New Roman"/>
      <w:kern w:val="0"/>
      <w:sz w:val="20"/>
      <w:szCs w:val="22"/>
      <w:lang w:val="es-CO"/>
    </w:rPr>
  </w:style>
  <w:style w:type="character" w:styleId="Refdenotaalpie">
    <w:name w:val="footnote reference"/>
    <w:aliases w:val="Texto de nota al pie,Footnotes refss,Appel note de bas de page,Ref,de nota al pie,Ref1, de nota al pie,Footnote number,BVI fnr,f,Ref. de nota al pie 2,Nota de pie,Texto nota al pie,4_G,16 Point,Superscript 6 Point,f1,R,FC,F,Footnote"/>
    <w:link w:val="Piedepagina"/>
    <w:uiPriority w:val="99"/>
    <w:unhideWhenUsed/>
    <w:qFormat/>
    <w:rsid w:val="00705B83"/>
    <w:rPr>
      <w:vertAlign w:val="superscript"/>
    </w:rPr>
  </w:style>
  <w:style w:type="paragraph" w:customStyle="1" w:styleId="Piedepagina">
    <w:name w:val="Pie de pagina"/>
    <w:aliases w:val="Ref. de nota al pie2"/>
    <w:basedOn w:val="Normal"/>
    <w:link w:val="Refdenotaalpie"/>
    <w:uiPriority w:val="99"/>
    <w:qFormat/>
    <w:rsid w:val="00705B83"/>
    <w:pPr>
      <w:spacing w:line="240" w:lineRule="exact"/>
    </w:pPr>
    <w:rPr>
      <w:vertAlign w:val="superscript"/>
    </w:rPr>
  </w:style>
  <w:style w:type="paragraph" w:customStyle="1" w:styleId="Prrafonumerado">
    <w:name w:val="Párrafo numerado"/>
    <w:basedOn w:val="Normal"/>
    <w:qFormat/>
    <w:rsid w:val="00145870"/>
    <w:pPr>
      <w:numPr>
        <w:numId w:val="1"/>
      </w:numPr>
      <w:tabs>
        <w:tab w:val="left" w:pos="0"/>
        <w:tab w:val="left" w:pos="426"/>
      </w:tabs>
      <w:ind w:left="0" w:firstLine="0"/>
      <w:jc w:val="both"/>
    </w:pPr>
    <w:rPr>
      <w:rFonts w:ascii="Times New Roman" w:eastAsia="Calibri" w:hAnsi="Times New Roman"/>
      <w:sz w:val="28"/>
      <w:szCs w:val="28"/>
      <w:lang w:val="es-ES"/>
    </w:rPr>
  </w:style>
  <w:style w:type="character" w:styleId="Hipervnculo">
    <w:name w:val="Hyperlink"/>
    <w:uiPriority w:val="99"/>
    <w:unhideWhenUsed/>
    <w:rsid w:val="00705B83"/>
    <w:rPr>
      <w:color w:val="0563C1"/>
      <w:u w:val="single"/>
    </w:rPr>
  </w:style>
  <w:style w:type="numbering" w:customStyle="1" w:styleId="CurrentList1">
    <w:name w:val="Current List1"/>
    <w:uiPriority w:val="99"/>
    <w:rsid w:val="00705B83"/>
    <w:pPr>
      <w:numPr>
        <w:numId w:val="2"/>
      </w:numPr>
    </w:pPr>
  </w:style>
  <w:style w:type="character" w:styleId="Hipervnculovisitado">
    <w:name w:val="FollowedHyperlink"/>
    <w:uiPriority w:val="99"/>
    <w:semiHidden/>
    <w:unhideWhenUsed/>
    <w:rsid w:val="004C5434"/>
    <w:rPr>
      <w:color w:val="954F72"/>
      <w:u w:val="single"/>
    </w:rPr>
  </w:style>
  <w:style w:type="character" w:customStyle="1" w:styleId="Mencinsinresolver1">
    <w:name w:val="Mención sin resolver1"/>
    <w:uiPriority w:val="99"/>
    <w:semiHidden/>
    <w:unhideWhenUsed/>
    <w:rsid w:val="004C5434"/>
    <w:rPr>
      <w:color w:val="605E5C"/>
      <w:shd w:val="clear" w:color="auto" w:fill="E1DFDD"/>
    </w:rPr>
  </w:style>
  <w:style w:type="paragraph" w:styleId="Revisin">
    <w:name w:val="Revision"/>
    <w:hidden/>
    <w:uiPriority w:val="99"/>
    <w:semiHidden/>
    <w:rsid w:val="006325F9"/>
    <w:rPr>
      <w:sz w:val="22"/>
      <w:szCs w:val="22"/>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131103"/>
  </w:style>
  <w:style w:type="paragraph" w:customStyle="1" w:styleId="centrado">
    <w:name w:val="centrado"/>
    <w:basedOn w:val="Normal"/>
    <w:rsid w:val="0026258E"/>
    <w:pPr>
      <w:spacing w:before="100" w:beforeAutospacing="1" w:after="100" w:afterAutospacing="1"/>
    </w:pPr>
    <w:rPr>
      <w:rFonts w:ascii="Times New Roman" w:hAnsi="Times New Roman"/>
    </w:rPr>
  </w:style>
  <w:style w:type="character" w:customStyle="1" w:styleId="baj">
    <w:name w:val="b_aj"/>
    <w:basedOn w:val="Fuentedeprrafopredeter"/>
    <w:rsid w:val="0026258E"/>
  </w:style>
  <w:style w:type="table" w:styleId="Tablaconcuadrcula">
    <w:name w:val="Table Grid"/>
    <w:basedOn w:val="Tablanormal"/>
    <w:uiPriority w:val="39"/>
    <w:rsid w:val="00153D47"/>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qFormat/>
    <w:rsid w:val="00251D73"/>
    <w:pPr>
      <w:pBdr>
        <w:top w:val="nil"/>
        <w:left w:val="nil"/>
        <w:bottom w:val="nil"/>
        <w:right w:val="nil"/>
        <w:between w:val="nil"/>
      </w:pBdr>
      <w:contextualSpacing/>
      <w:jc w:val="both"/>
    </w:pPr>
    <w:rPr>
      <w:rFonts w:ascii="Times New Roman" w:hAnsi="Times New Roman" w:cs="Times New Roman (Cuerpo en alfa"/>
      <w:sz w:val="20"/>
      <w:vertAlign w:val="superscript"/>
      <w:lang w:val="es-ES"/>
    </w:rPr>
  </w:style>
  <w:style w:type="paragraph" w:customStyle="1" w:styleId="Estilo1">
    <w:name w:val="Estilo1"/>
    <w:basedOn w:val="Normal"/>
    <w:link w:val="Estilo1Car"/>
    <w:qFormat/>
    <w:rsid w:val="00206B96"/>
    <w:pPr>
      <w:widowControl w:val="0"/>
      <w:ind w:left="360" w:hanging="360"/>
      <w:jc w:val="both"/>
    </w:pPr>
    <w:rPr>
      <w:rFonts w:ascii="Times New Roman" w:hAnsi="Times New Roman" w:cs="Times New Roman (Cuerpo en alfa"/>
      <w:sz w:val="28"/>
      <w:szCs w:val="28"/>
    </w:rPr>
  </w:style>
  <w:style w:type="character" w:customStyle="1" w:styleId="Estilo1Car">
    <w:name w:val="Estilo1 Car"/>
    <w:link w:val="Estilo1"/>
    <w:rsid w:val="00206B96"/>
    <w:rPr>
      <w:rFonts w:ascii="Times New Roman" w:hAnsi="Times New Roman" w:cs="Times New Roman (Cuerpo en alfa"/>
      <w:kern w:val="0"/>
      <w:sz w:val="28"/>
      <w:szCs w:val="28"/>
    </w:rPr>
  </w:style>
  <w:style w:type="character" w:customStyle="1" w:styleId="apple-converted-space">
    <w:name w:val="apple-converted-space"/>
    <w:basedOn w:val="Fuentedeprrafopredeter"/>
    <w:rsid w:val="000B4A31"/>
  </w:style>
  <w:style w:type="paragraph" w:customStyle="1" w:styleId="texto">
    <w:name w:val="texto"/>
    <w:uiPriority w:val="99"/>
    <w:rsid w:val="00882ACB"/>
    <w:pPr>
      <w:autoSpaceDE w:val="0"/>
      <w:autoSpaceDN w:val="0"/>
      <w:adjustRightInd w:val="0"/>
      <w:spacing w:before="45" w:line="256" w:lineRule="atLeast"/>
      <w:ind w:firstLine="240"/>
      <w:jc w:val="both"/>
    </w:pPr>
    <w:rPr>
      <w:rFonts w:ascii="Times New Roman" w:hAnsi="Times New Roman"/>
      <w:color w:val="000000"/>
      <w:sz w:val="22"/>
      <w:szCs w:val="22"/>
    </w:rPr>
  </w:style>
  <w:style w:type="paragraph" w:customStyle="1" w:styleId="arabigo">
    <w:name w:val="arabigo"/>
    <w:basedOn w:val="texto"/>
    <w:uiPriority w:val="99"/>
    <w:rsid w:val="00882ACB"/>
    <w:pPr>
      <w:tabs>
        <w:tab w:val="left" w:pos="240"/>
      </w:tabs>
      <w:spacing w:before="360" w:after="200"/>
      <w:ind w:firstLine="0"/>
      <w:jc w:val="left"/>
    </w:pPr>
    <w:rPr>
      <w:smallCaps/>
      <w:color w:val="auto"/>
    </w:rPr>
  </w:style>
  <w:style w:type="paragraph" w:customStyle="1" w:styleId="tex-despsubt">
    <w:name w:val="tex-desp. subt"/>
    <w:basedOn w:val="texto"/>
    <w:uiPriority w:val="99"/>
    <w:rsid w:val="00882ACB"/>
    <w:pPr>
      <w:spacing w:before="40"/>
    </w:pPr>
    <w:rPr>
      <w:color w:val="auto"/>
    </w:rPr>
  </w:style>
  <w:style w:type="paragraph" w:styleId="NormalWeb">
    <w:name w:val="Normal (Web)"/>
    <w:basedOn w:val="Normal"/>
    <w:uiPriority w:val="99"/>
    <w:semiHidden/>
    <w:unhideWhenUsed/>
    <w:rsid w:val="006478B1"/>
    <w:rPr>
      <w:rFonts w:ascii="Times New Roman" w:hAnsi="Times New Roman"/>
    </w:rPr>
  </w:style>
  <w:style w:type="paragraph" w:styleId="TtuloTDC">
    <w:name w:val="TOC Heading"/>
    <w:basedOn w:val="Ttulo1"/>
    <w:next w:val="Normal"/>
    <w:uiPriority w:val="39"/>
    <w:unhideWhenUsed/>
    <w:qFormat/>
    <w:rsid w:val="00D130AB"/>
    <w:pPr>
      <w:spacing w:before="480" w:after="0" w:line="276" w:lineRule="auto"/>
      <w:outlineLvl w:val="9"/>
    </w:pPr>
    <w:rPr>
      <w:b/>
      <w:bCs/>
      <w:sz w:val="28"/>
      <w:szCs w:val="28"/>
      <w:lang w:eastAsia="zh-CN"/>
    </w:rPr>
  </w:style>
  <w:style w:type="paragraph" w:styleId="TDC1">
    <w:name w:val="toc 1"/>
    <w:basedOn w:val="Normal"/>
    <w:next w:val="Normal"/>
    <w:autoRedefine/>
    <w:uiPriority w:val="39"/>
    <w:unhideWhenUsed/>
    <w:rsid w:val="00D130AB"/>
    <w:pPr>
      <w:spacing w:before="120"/>
    </w:pPr>
    <w:rPr>
      <w:b/>
      <w:bCs/>
      <w:i/>
      <w:iCs/>
      <w:szCs w:val="28"/>
    </w:rPr>
  </w:style>
  <w:style w:type="paragraph" w:styleId="TDC2">
    <w:name w:val="toc 2"/>
    <w:basedOn w:val="Normal"/>
    <w:next w:val="Normal"/>
    <w:autoRedefine/>
    <w:uiPriority w:val="39"/>
    <w:unhideWhenUsed/>
    <w:rsid w:val="00D130AB"/>
    <w:pPr>
      <w:spacing w:before="120"/>
      <w:ind w:left="240"/>
    </w:pPr>
    <w:rPr>
      <w:b/>
      <w:bCs/>
      <w:szCs w:val="26"/>
    </w:rPr>
  </w:style>
  <w:style w:type="paragraph" w:styleId="TDC3">
    <w:name w:val="toc 3"/>
    <w:basedOn w:val="Normal"/>
    <w:next w:val="Normal"/>
    <w:autoRedefine/>
    <w:uiPriority w:val="39"/>
    <w:unhideWhenUsed/>
    <w:rsid w:val="00D130AB"/>
    <w:pPr>
      <w:ind w:left="480"/>
    </w:pPr>
    <w:rPr>
      <w:sz w:val="20"/>
    </w:rPr>
  </w:style>
  <w:style w:type="paragraph" w:styleId="TDC4">
    <w:name w:val="toc 4"/>
    <w:basedOn w:val="Normal"/>
    <w:next w:val="Normal"/>
    <w:autoRedefine/>
    <w:uiPriority w:val="39"/>
    <w:semiHidden/>
    <w:unhideWhenUsed/>
    <w:rsid w:val="00D130AB"/>
    <w:pPr>
      <w:ind w:left="720"/>
    </w:pPr>
    <w:rPr>
      <w:sz w:val="20"/>
    </w:rPr>
  </w:style>
  <w:style w:type="paragraph" w:styleId="TDC5">
    <w:name w:val="toc 5"/>
    <w:basedOn w:val="Normal"/>
    <w:next w:val="Normal"/>
    <w:autoRedefine/>
    <w:uiPriority w:val="39"/>
    <w:semiHidden/>
    <w:unhideWhenUsed/>
    <w:rsid w:val="00D130AB"/>
    <w:pPr>
      <w:ind w:left="960"/>
    </w:pPr>
    <w:rPr>
      <w:sz w:val="20"/>
    </w:rPr>
  </w:style>
  <w:style w:type="paragraph" w:styleId="TDC6">
    <w:name w:val="toc 6"/>
    <w:basedOn w:val="Normal"/>
    <w:next w:val="Normal"/>
    <w:autoRedefine/>
    <w:uiPriority w:val="39"/>
    <w:semiHidden/>
    <w:unhideWhenUsed/>
    <w:rsid w:val="00D130AB"/>
    <w:pPr>
      <w:ind w:left="1200"/>
    </w:pPr>
    <w:rPr>
      <w:sz w:val="20"/>
    </w:rPr>
  </w:style>
  <w:style w:type="paragraph" w:styleId="TDC7">
    <w:name w:val="toc 7"/>
    <w:basedOn w:val="Normal"/>
    <w:next w:val="Normal"/>
    <w:autoRedefine/>
    <w:uiPriority w:val="39"/>
    <w:semiHidden/>
    <w:unhideWhenUsed/>
    <w:rsid w:val="00D130AB"/>
    <w:pPr>
      <w:ind w:left="1440"/>
    </w:pPr>
    <w:rPr>
      <w:sz w:val="20"/>
    </w:rPr>
  </w:style>
  <w:style w:type="paragraph" w:styleId="TDC8">
    <w:name w:val="toc 8"/>
    <w:basedOn w:val="Normal"/>
    <w:next w:val="Normal"/>
    <w:autoRedefine/>
    <w:uiPriority w:val="39"/>
    <w:semiHidden/>
    <w:unhideWhenUsed/>
    <w:rsid w:val="00D130AB"/>
    <w:pPr>
      <w:ind w:left="1680"/>
    </w:pPr>
    <w:rPr>
      <w:sz w:val="20"/>
    </w:rPr>
  </w:style>
  <w:style w:type="paragraph" w:styleId="TDC9">
    <w:name w:val="toc 9"/>
    <w:basedOn w:val="Normal"/>
    <w:next w:val="Normal"/>
    <w:autoRedefine/>
    <w:uiPriority w:val="39"/>
    <w:semiHidden/>
    <w:unhideWhenUsed/>
    <w:rsid w:val="00D130AB"/>
    <w:pPr>
      <w:ind w:left="1920"/>
    </w:pPr>
    <w:rPr>
      <w:sz w:val="20"/>
    </w:rPr>
  </w:style>
  <w:style w:type="character" w:styleId="Textoennegrita">
    <w:name w:val="Strong"/>
    <w:uiPriority w:val="22"/>
    <w:qFormat/>
    <w:rsid w:val="004174C9"/>
    <w:rPr>
      <w:b/>
      <w:bCs/>
    </w:rPr>
  </w:style>
  <w:style w:type="paragraph" w:styleId="Sinespaciado">
    <w:name w:val="No Spacing"/>
    <w:link w:val="SinespaciadoCar"/>
    <w:uiPriority w:val="1"/>
    <w:qFormat/>
    <w:rsid w:val="00761775"/>
    <w:rPr>
      <w:rFonts w:ascii="Times New Roman" w:hAnsi="Times New Roman"/>
      <w:sz w:val="28"/>
      <w:szCs w:val="28"/>
    </w:rPr>
  </w:style>
  <w:style w:type="character" w:customStyle="1" w:styleId="SinespaciadoCar">
    <w:name w:val="Sin espaciado Car"/>
    <w:link w:val="Sinespaciado"/>
    <w:uiPriority w:val="1"/>
    <w:rsid w:val="00761775"/>
    <w:rPr>
      <w:rFonts w:ascii="Times New Roman" w:hAnsi="Times New Roman" w:cs="Times New Roman"/>
      <w:sz w:val="28"/>
      <w:szCs w:val="28"/>
    </w:rPr>
  </w:style>
  <w:style w:type="character" w:styleId="Refdecomentario">
    <w:name w:val="annotation reference"/>
    <w:uiPriority w:val="99"/>
    <w:semiHidden/>
    <w:unhideWhenUsed/>
    <w:rsid w:val="001A75B2"/>
    <w:rPr>
      <w:sz w:val="16"/>
      <w:szCs w:val="16"/>
    </w:rPr>
  </w:style>
  <w:style w:type="paragraph" w:styleId="Textocomentario">
    <w:name w:val="annotation text"/>
    <w:basedOn w:val="Normal"/>
    <w:link w:val="TextocomentarioCar"/>
    <w:uiPriority w:val="99"/>
    <w:unhideWhenUsed/>
    <w:rsid w:val="001A75B2"/>
    <w:rPr>
      <w:sz w:val="20"/>
      <w:szCs w:val="20"/>
    </w:rPr>
  </w:style>
  <w:style w:type="character" w:customStyle="1" w:styleId="TextocomentarioCar">
    <w:name w:val="Texto comentario Car"/>
    <w:link w:val="Textocomentario"/>
    <w:uiPriority w:val="99"/>
    <w:rsid w:val="001A75B2"/>
    <w:rPr>
      <w:sz w:val="20"/>
      <w:szCs w:val="20"/>
    </w:rPr>
  </w:style>
  <w:style w:type="paragraph" w:styleId="Asuntodelcomentario">
    <w:name w:val="annotation subject"/>
    <w:basedOn w:val="Textocomentario"/>
    <w:next w:val="Textocomentario"/>
    <w:link w:val="AsuntodelcomentarioCar"/>
    <w:uiPriority w:val="99"/>
    <w:semiHidden/>
    <w:unhideWhenUsed/>
    <w:rsid w:val="001A75B2"/>
    <w:rPr>
      <w:b/>
      <w:bCs/>
    </w:rPr>
  </w:style>
  <w:style w:type="character" w:customStyle="1" w:styleId="AsuntodelcomentarioCar">
    <w:name w:val="Asunto del comentario Car"/>
    <w:link w:val="Asuntodelcomentario"/>
    <w:uiPriority w:val="99"/>
    <w:semiHidden/>
    <w:rsid w:val="001A75B2"/>
    <w:rPr>
      <w:b/>
      <w:bCs/>
      <w:sz w:val="20"/>
      <w:szCs w:val="20"/>
    </w:rPr>
  </w:style>
  <w:style w:type="paragraph" w:customStyle="1" w:styleId="notas">
    <w:name w:val="notas"/>
    <w:basedOn w:val="texto"/>
    <w:rsid w:val="000A5AAE"/>
    <w:pPr>
      <w:spacing w:line="212" w:lineRule="atLeast"/>
    </w:pPr>
    <w:rPr>
      <w:color w:val="auto"/>
      <w:sz w:val="18"/>
      <w:szCs w:val="18"/>
    </w:rPr>
  </w:style>
  <w:style w:type="paragraph" w:customStyle="1" w:styleId="Normal0">
    <w:name w:val="Normal0"/>
    <w:qFormat/>
    <w:rsid w:val="007D2F53"/>
    <w:pPr>
      <w:widowControl w:val="0"/>
      <w:jc w:val="both"/>
    </w:pPr>
    <w:rPr>
      <w:rFonts w:ascii="Times New Roman" w:hAnsi="Times New Roman"/>
      <w:color w:val="000000"/>
      <w:sz w:val="28"/>
      <w:szCs w:val="28"/>
      <w:lang w:val="es-ES" w:eastAsia="es-ES"/>
    </w:rPr>
  </w:style>
  <w:style w:type="paragraph" w:customStyle="1" w:styleId="p1">
    <w:name w:val="p1"/>
    <w:basedOn w:val="Normal"/>
    <w:rsid w:val="00146B8A"/>
    <w:rPr>
      <w:rFonts w:ascii="Helvetica" w:hAnsi="Helvetica"/>
      <w:color w:val="000000"/>
      <w:sz w:val="18"/>
      <w:szCs w:val="18"/>
      <w:lang w:eastAsia="zh-CN"/>
    </w:rPr>
  </w:style>
  <w:style w:type="character" w:customStyle="1" w:styleId="Mencinsinresolver2">
    <w:name w:val="Mención sin resolver2"/>
    <w:uiPriority w:val="99"/>
    <w:semiHidden/>
    <w:unhideWhenUsed/>
    <w:rsid w:val="00401E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480_2011_pr001.htm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siicor.corteconstitucional.gov.co/controldeprocesos/archivo.php?id=117298" TargetMode="External"/><Relationship Id="rId13" Type="http://schemas.openxmlformats.org/officeDocument/2006/relationships/hyperlink" Target="https://www.corteconstitucional.gov.co/secretaria/archivo.php?id=119951" TargetMode="External"/><Relationship Id="rId3" Type="http://schemas.openxmlformats.org/officeDocument/2006/relationships/hyperlink" Target="https://www.corteconstitucional.gov.co/secretaria/expediente?proceso=1&amp;expediente=D0016557" TargetMode="External"/><Relationship Id="rId7" Type="http://schemas.openxmlformats.org/officeDocument/2006/relationships/hyperlink" Target="https://siicor.corteconstitucional.gov.co/controldeprocesos/archivo.php?id=117367" TargetMode="External"/><Relationship Id="rId12" Type="http://schemas.openxmlformats.org/officeDocument/2006/relationships/hyperlink" Target="https://siicor.corteconstitucional.gov.co/controldeprocesos/archivo.php?id=117365" TargetMode="External"/><Relationship Id="rId17" Type="http://schemas.openxmlformats.org/officeDocument/2006/relationships/hyperlink" Target="https://siicor.corteconstitucional.gov.co/controldeprocesos/archivo.php?id=117365" TargetMode="External"/><Relationship Id="rId2" Type="http://schemas.openxmlformats.org/officeDocument/2006/relationships/hyperlink" Target="https://www.corteconstitucional.gov.co/secretaria/expediente?proceso=1&amp;expediente=D0016557" TargetMode="External"/><Relationship Id="rId16" Type="http://schemas.openxmlformats.org/officeDocument/2006/relationships/hyperlink" Target="https://siicor.corteconstitucional.gov.co/controldeprocesos/archivo.php?id=117298" TargetMode="External"/><Relationship Id="rId1" Type="http://schemas.openxmlformats.org/officeDocument/2006/relationships/hyperlink" Target="https://www.corteconstitucional.gov.co/secretaria/expediente?proceso=1&amp;expediente=D0016557" TargetMode="External"/><Relationship Id="rId6" Type="http://schemas.openxmlformats.org/officeDocument/2006/relationships/hyperlink" Target="https://www.corteconstitucional.gov.co/secretaria/expediente?proceso=1&amp;expediente=D0016557" TargetMode="External"/><Relationship Id="rId11" Type="http://schemas.openxmlformats.org/officeDocument/2006/relationships/hyperlink" Target="https://siicor.corteconstitucional.gov.co/controldeprocesos/archivo.php?id=117372" TargetMode="External"/><Relationship Id="rId5" Type="http://schemas.openxmlformats.org/officeDocument/2006/relationships/hyperlink" Target="https://www.corteconstitucional.gov.co/secretaria/expediente?proceso=1&amp;expediente=D0016557" TargetMode="External"/><Relationship Id="rId15" Type="http://schemas.openxmlformats.org/officeDocument/2006/relationships/hyperlink" Target="https://siicor.corteconstitucional.gov.co/controldeprocesos/archivo.php?id=117372" TargetMode="External"/><Relationship Id="rId10" Type="http://schemas.openxmlformats.org/officeDocument/2006/relationships/hyperlink" Target="https://siicor.corteconstitucional.gov.co/controldeprocesos/archivo.php?id=117365" TargetMode="External"/><Relationship Id="rId4" Type="http://schemas.openxmlformats.org/officeDocument/2006/relationships/hyperlink" Target="https://www.corteconstitucional.gov.co/secretaria/expediente?proceso=1&amp;expediente=D0016557" TargetMode="External"/><Relationship Id="rId9" Type="http://schemas.openxmlformats.org/officeDocument/2006/relationships/hyperlink" Target="https://siicor.corteconstitucional.gov.co/controldeprocesos/archivo.php?id=117372" TargetMode="External"/><Relationship Id="rId14" Type="http://schemas.openxmlformats.org/officeDocument/2006/relationships/hyperlink" Target="https://siicor.corteconstitucional.gov.co/controldeprocesos/archivo.php?id=117367"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19737</Words>
  <Characters>108555</Characters>
  <Application>Microsoft Office Word</Application>
  <DocSecurity>0</DocSecurity>
  <Lines>904</Lines>
  <Paragraphs>256</Paragraphs>
  <ScaleCrop>false</ScaleCrop>
  <Company/>
  <LinksUpToDate>false</LinksUpToDate>
  <CharactersWithSpaces>128036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2026-05-07T15:50:00Z</dcterms:created>
  <dcterms:modified xsi:type="dcterms:W3CDTF">2026-05-07T15:50:00Z</dcterms:modified>
</cp:coreProperties>
</file>